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D21" w:rsidRDefault="00FE1BFE" w:rsidP="00304037">
      <w:pPr>
        <w:pStyle w:val="SemEspaamento"/>
        <w:jc w:val="both"/>
        <w:rPr>
          <w:rFonts w:ascii="Cambria" w:hAnsi="Cambria"/>
          <w:sz w:val="72"/>
          <w:szCs w:val="72"/>
        </w:rPr>
      </w:pPr>
      <w:r>
        <w:rPr>
          <w:rFonts w:ascii="Cambria" w:hAnsi="Cambria"/>
          <w:sz w:val="72"/>
          <w:szCs w:val="72"/>
        </w:rPr>
        <w:t xml:space="preserve"> </w:t>
      </w:r>
    </w:p>
    <w:p w:rsidR="00C05D21" w:rsidRDefault="00C05D21" w:rsidP="00304037">
      <w:pPr>
        <w:pStyle w:val="SemEspaamento"/>
        <w:jc w:val="both"/>
        <w:rPr>
          <w:rFonts w:ascii="Cambria" w:hAnsi="Cambria"/>
          <w:sz w:val="72"/>
          <w:szCs w:val="72"/>
        </w:rPr>
      </w:pPr>
    </w:p>
    <w:p w:rsidR="00C05D21" w:rsidRDefault="00C05D21" w:rsidP="00304037">
      <w:pPr>
        <w:pStyle w:val="SemEspaamento"/>
        <w:jc w:val="both"/>
        <w:rPr>
          <w:rFonts w:ascii="Cambria" w:hAnsi="Cambria"/>
          <w:sz w:val="72"/>
          <w:szCs w:val="72"/>
        </w:rPr>
      </w:pPr>
    </w:p>
    <w:p w:rsidR="00BA54DA" w:rsidRDefault="00E359CF" w:rsidP="00E359CF">
      <w:pPr>
        <w:pStyle w:val="SemEspaamento"/>
        <w:jc w:val="center"/>
        <w:rPr>
          <w:rFonts w:ascii="Cambria" w:hAnsi="Cambria"/>
          <w:sz w:val="72"/>
          <w:szCs w:val="72"/>
        </w:rPr>
      </w:pPr>
      <w:r>
        <w:rPr>
          <w:rFonts w:ascii="Cambria" w:hAnsi="Cambria"/>
          <w:sz w:val="72"/>
          <w:szCs w:val="72"/>
        </w:rPr>
        <w:t xml:space="preserve">Centro de Dia e Lar </w:t>
      </w:r>
      <w:proofErr w:type="spellStart"/>
      <w:r>
        <w:rPr>
          <w:rFonts w:ascii="Cambria" w:hAnsi="Cambria"/>
          <w:sz w:val="72"/>
          <w:szCs w:val="72"/>
        </w:rPr>
        <w:t>Sta</w:t>
      </w:r>
      <w:proofErr w:type="spellEnd"/>
      <w:r>
        <w:rPr>
          <w:rFonts w:ascii="Cambria" w:hAnsi="Cambria"/>
          <w:sz w:val="72"/>
          <w:szCs w:val="72"/>
        </w:rPr>
        <w:t xml:space="preserve"> Ana de Azinha</w:t>
      </w:r>
    </w:p>
    <w:p w:rsidR="00C05D21" w:rsidRPr="00C26B1F" w:rsidRDefault="00C05D21" w:rsidP="00E359CF">
      <w:pPr>
        <w:pStyle w:val="SemEspaamento"/>
        <w:jc w:val="center"/>
        <w:rPr>
          <w:rFonts w:ascii="Candara" w:hAnsi="Candara"/>
          <w:b/>
          <w:sz w:val="56"/>
          <w:szCs w:val="56"/>
          <w:highlight w:val="yellow"/>
        </w:rPr>
      </w:pPr>
    </w:p>
    <w:p w:rsidR="00BA54DA" w:rsidRDefault="00BA54DA" w:rsidP="00E359CF">
      <w:pPr>
        <w:jc w:val="center"/>
        <w:rPr>
          <w:rFonts w:ascii="Verdana" w:hAnsi="Verdana"/>
          <w:b/>
          <w:sz w:val="40"/>
          <w:szCs w:val="40"/>
        </w:rPr>
      </w:pPr>
    </w:p>
    <w:p w:rsidR="00BA54DA" w:rsidRDefault="00BA54DA" w:rsidP="00E359CF">
      <w:pPr>
        <w:jc w:val="center"/>
        <w:rPr>
          <w:rFonts w:ascii="Verdana" w:hAnsi="Verdana"/>
          <w:b/>
          <w:sz w:val="40"/>
          <w:szCs w:val="40"/>
        </w:rPr>
      </w:pPr>
    </w:p>
    <w:p w:rsidR="00A97E9B" w:rsidRPr="00C26B1F" w:rsidRDefault="00A97E9B" w:rsidP="00E359CF">
      <w:pPr>
        <w:pStyle w:val="SemEspaamento"/>
        <w:jc w:val="center"/>
        <w:rPr>
          <w:rFonts w:ascii="Candara" w:hAnsi="Candara"/>
          <w:b/>
          <w:sz w:val="44"/>
          <w:szCs w:val="44"/>
        </w:rPr>
      </w:pPr>
    </w:p>
    <w:p w:rsidR="00A97E9B" w:rsidRPr="00C26B1F" w:rsidRDefault="00A97E9B" w:rsidP="00E359CF">
      <w:pPr>
        <w:pStyle w:val="SemEspaamento"/>
        <w:jc w:val="center"/>
        <w:rPr>
          <w:rFonts w:ascii="Candara" w:hAnsi="Candara"/>
          <w:b/>
          <w:sz w:val="44"/>
          <w:szCs w:val="44"/>
        </w:rPr>
      </w:pPr>
    </w:p>
    <w:p w:rsidR="00C05D21" w:rsidRPr="00C26B1F" w:rsidRDefault="00523D46" w:rsidP="00E359CF">
      <w:pPr>
        <w:pStyle w:val="SemEspaamento"/>
        <w:jc w:val="center"/>
        <w:rPr>
          <w:rFonts w:ascii="Candara" w:hAnsi="Candara"/>
          <w:b/>
          <w:sz w:val="36"/>
          <w:szCs w:val="36"/>
        </w:rPr>
      </w:pPr>
      <w:r w:rsidRPr="00C26B1F">
        <w:rPr>
          <w:rFonts w:ascii="Candara" w:hAnsi="Candara"/>
          <w:b/>
          <w:sz w:val="36"/>
          <w:szCs w:val="36"/>
        </w:rPr>
        <w:t xml:space="preserve">ANEXO </w:t>
      </w:r>
      <w:r w:rsidR="002046EB" w:rsidRPr="00C26B1F">
        <w:rPr>
          <w:rFonts w:ascii="Candara" w:hAnsi="Candara"/>
          <w:b/>
          <w:sz w:val="36"/>
          <w:szCs w:val="36"/>
        </w:rPr>
        <w:t>do e</w:t>
      </w:r>
      <w:r w:rsidR="00DE3948" w:rsidRPr="00C26B1F">
        <w:rPr>
          <w:rFonts w:ascii="Candara" w:hAnsi="Candara"/>
          <w:b/>
          <w:sz w:val="36"/>
          <w:szCs w:val="36"/>
        </w:rPr>
        <w:t xml:space="preserve">xercício de </w:t>
      </w:r>
      <w:r w:rsidR="00C26B1F" w:rsidRPr="00C26B1F">
        <w:rPr>
          <w:rFonts w:ascii="Candara" w:hAnsi="Candara"/>
          <w:b/>
          <w:sz w:val="36"/>
          <w:szCs w:val="36"/>
        </w:rPr>
        <w:t>2016</w:t>
      </w:r>
    </w:p>
    <w:p w:rsidR="00C05D21" w:rsidRPr="00C26B1F" w:rsidRDefault="00C05D21" w:rsidP="00E359CF">
      <w:pPr>
        <w:jc w:val="center"/>
        <w:rPr>
          <w:rFonts w:ascii="Candara" w:hAnsi="Candara"/>
          <w:b/>
          <w:sz w:val="24"/>
          <w:szCs w:val="24"/>
        </w:rPr>
      </w:pPr>
      <w:r w:rsidRPr="00C26B1F">
        <w:rPr>
          <w:b/>
          <w:bCs/>
          <w:color w:val="808080"/>
          <w:sz w:val="32"/>
          <w:szCs w:val="32"/>
        </w:rPr>
        <w:br w:type="page"/>
      </w:r>
      <w:r w:rsidR="00E63C06" w:rsidRPr="00C26B1F">
        <w:rPr>
          <w:rFonts w:ascii="Candara" w:hAnsi="Candara"/>
          <w:b/>
          <w:sz w:val="24"/>
          <w:szCs w:val="24"/>
        </w:rPr>
        <w:lastRenderedPageBreak/>
        <w:t>ANEXO</w:t>
      </w:r>
    </w:p>
    <w:p w:rsidR="00DD2B71" w:rsidRPr="00C26B1F" w:rsidRDefault="00C05D21" w:rsidP="005E02C9">
      <w:pPr>
        <w:spacing w:line="360" w:lineRule="atLeast"/>
        <w:jc w:val="center"/>
        <w:rPr>
          <w:rFonts w:ascii="Candara" w:hAnsi="Candara"/>
          <w:b/>
          <w:sz w:val="24"/>
          <w:szCs w:val="24"/>
        </w:rPr>
      </w:pPr>
      <w:r w:rsidRPr="00C26B1F">
        <w:rPr>
          <w:rFonts w:ascii="Candara" w:hAnsi="Candara"/>
          <w:b/>
          <w:sz w:val="24"/>
          <w:szCs w:val="24"/>
        </w:rPr>
        <w:t>EM</w:t>
      </w:r>
      <w:r w:rsidR="00C26B1F" w:rsidRPr="00C26B1F">
        <w:rPr>
          <w:rFonts w:ascii="Candara" w:hAnsi="Candara"/>
          <w:b/>
          <w:sz w:val="24"/>
          <w:szCs w:val="24"/>
        </w:rPr>
        <w:t xml:space="preserve"> 31 DE DEZEMBRO DE 2016</w:t>
      </w:r>
    </w:p>
    <w:p w:rsidR="00C05D21" w:rsidRPr="00C26B1F" w:rsidRDefault="00C05D21" w:rsidP="00304037">
      <w:pPr>
        <w:spacing w:line="360" w:lineRule="atLeast"/>
        <w:jc w:val="both"/>
        <w:rPr>
          <w:rFonts w:ascii="Candara" w:hAnsi="Candara"/>
          <w:b/>
          <w:i/>
          <w:sz w:val="24"/>
          <w:szCs w:val="24"/>
        </w:rPr>
      </w:pPr>
    </w:p>
    <w:p w:rsidR="00C05D21" w:rsidRPr="00C26B1F" w:rsidRDefault="00AF28F2" w:rsidP="00304037">
      <w:pPr>
        <w:numPr>
          <w:ilvl w:val="0"/>
          <w:numId w:val="2"/>
        </w:numPr>
        <w:spacing w:line="360" w:lineRule="atLeast"/>
        <w:ind w:left="284" w:hanging="284"/>
        <w:jc w:val="both"/>
        <w:rPr>
          <w:rFonts w:ascii="Candara" w:hAnsi="Candara"/>
          <w:b/>
          <w:sz w:val="24"/>
          <w:szCs w:val="22"/>
        </w:rPr>
      </w:pPr>
      <w:r w:rsidRPr="00C26B1F">
        <w:rPr>
          <w:rFonts w:ascii="Candara" w:hAnsi="Candara"/>
          <w:b/>
          <w:sz w:val="24"/>
          <w:szCs w:val="22"/>
        </w:rPr>
        <w:t>IDENTIFICAÇÃO DA ENTIDADE</w:t>
      </w:r>
    </w:p>
    <w:p w:rsidR="007368F4" w:rsidRPr="00C26B1F" w:rsidRDefault="007368F4" w:rsidP="00304037">
      <w:pPr>
        <w:spacing w:line="360" w:lineRule="atLeast"/>
        <w:jc w:val="both"/>
        <w:rPr>
          <w:rFonts w:ascii="Candara" w:hAnsi="Candara"/>
          <w:b/>
          <w:sz w:val="22"/>
          <w:szCs w:val="22"/>
        </w:rPr>
      </w:pPr>
    </w:p>
    <w:p w:rsidR="003C008D" w:rsidRPr="00C26B1F" w:rsidRDefault="003C008D" w:rsidP="00304037">
      <w:pPr>
        <w:spacing w:line="360" w:lineRule="atLeast"/>
        <w:jc w:val="both"/>
        <w:rPr>
          <w:rFonts w:ascii="Candara" w:hAnsi="Candara"/>
          <w:b/>
          <w:sz w:val="22"/>
          <w:szCs w:val="22"/>
        </w:rPr>
      </w:pPr>
      <w:r w:rsidRPr="00C26B1F">
        <w:rPr>
          <w:rFonts w:ascii="Candara" w:hAnsi="Candara"/>
          <w:b/>
          <w:sz w:val="22"/>
          <w:szCs w:val="22"/>
        </w:rPr>
        <w:t xml:space="preserve">1.1 </w:t>
      </w:r>
      <w:r w:rsidR="005E02C9" w:rsidRPr="00BD58E1">
        <w:rPr>
          <w:rFonts w:ascii="Candara" w:hAnsi="Candara"/>
          <w:b/>
          <w:i/>
          <w:sz w:val="22"/>
          <w:szCs w:val="22"/>
        </w:rPr>
        <w:t>—</w:t>
      </w:r>
      <w:r w:rsidR="005E02C9">
        <w:rPr>
          <w:rFonts w:ascii="Candara" w:hAnsi="Candara"/>
          <w:b/>
          <w:i/>
          <w:sz w:val="22"/>
          <w:szCs w:val="22"/>
        </w:rPr>
        <w:t xml:space="preserve"> </w:t>
      </w:r>
      <w:r w:rsidR="004723CA">
        <w:rPr>
          <w:rFonts w:ascii="Candara" w:hAnsi="Candara"/>
          <w:b/>
          <w:sz w:val="22"/>
          <w:szCs w:val="22"/>
        </w:rPr>
        <w:t>Denominação</w:t>
      </w:r>
      <w:r w:rsidR="004723CA" w:rsidRPr="00C26B1F">
        <w:rPr>
          <w:rFonts w:ascii="Candara" w:hAnsi="Candara"/>
          <w:b/>
          <w:sz w:val="22"/>
          <w:szCs w:val="22"/>
        </w:rPr>
        <w:t xml:space="preserve"> </w:t>
      </w:r>
      <w:r w:rsidRPr="00C26B1F">
        <w:rPr>
          <w:rFonts w:ascii="Candara" w:hAnsi="Candara"/>
          <w:b/>
          <w:sz w:val="22"/>
          <w:szCs w:val="22"/>
        </w:rPr>
        <w:t>da Entidade:</w:t>
      </w:r>
    </w:p>
    <w:p w:rsidR="00686F65" w:rsidRPr="007A1351" w:rsidRDefault="00070A44" w:rsidP="00770E7A">
      <w:pPr>
        <w:tabs>
          <w:tab w:val="left" w:pos="3060"/>
        </w:tabs>
        <w:spacing w:line="360" w:lineRule="atLeast"/>
        <w:jc w:val="both"/>
        <w:rPr>
          <w:rFonts w:ascii="Verdana" w:hAnsi="Verdana"/>
        </w:rPr>
      </w:pPr>
      <w:r w:rsidRPr="007A1351">
        <w:rPr>
          <w:rFonts w:ascii="Verdana" w:hAnsi="Verdana"/>
        </w:rPr>
        <w:t xml:space="preserve">Centro de Dia e Lar de </w:t>
      </w:r>
      <w:proofErr w:type="spellStart"/>
      <w:r w:rsidRPr="007A1351">
        <w:rPr>
          <w:rFonts w:ascii="Verdana" w:hAnsi="Verdana"/>
        </w:rPr>
        <w:t>Sta</w:t>
      </w:r>
      <w:proofErr w:type="spellEnd"/>
      <w:r w:rsidRPr="007A1351">
        <w:rPr>
          <w:rFonts w:ascii="Verdana" w:hAnsi="Verdana"/>
        </w:rPr>
        <w:t xml:space="preserve"> Ana de Azinha</w:t>
      </w:r>
    </w:p>
    <w:p w:rsidR="007A1351" w:rsidRPr="007A1351" w:rsidRDefault="007A1351" w:rsidP="00770E7A">
      <w:pPr>
        <w:tabs>
          <w:tab w:val="left" w:pos="3060"/>
        </w:tabs>
        <w:spacing w:line="360" w:lineRule="atLeast"/>
        <w:jc w:val="both"/>
        <w:rPr>
          <w:rFonts w:ascii="Candara" w:hAnsi="Candara"/>
        </w:rPr>
      </w:pPr>
      <w:proofErr w:type="spellStart"/>
      <w:r w:rsidRPr="007A1351">
        <w:rPr>
          <w:rFonts w:ascii="Verdana" w:hAnsi="Verdana"/>
        </w:rPr>
        <w:t>Cont</w:t>
      </w:r>
      <w:proofErr w:type="spellEnd"/>
      <w:r w:rsidRPr="007A1351">
        <w:rPr>
          <w:rFonts w:ascii="Verdana" w:hAnsi="Verdana"/>
        </w:rPr>
        <w:t xml:space="preserve"> 502940344</w:t>
      </w:r>
    </w:p>
    <w:p w:rsidR="00035557" w:rsidRPr="00C26B1F" w:rsidRDefault="003C008D" w:rsidP="00304037">
      <w:pPr>
        <w:spacing w:line="360" w:lineRule="atLeast"/>
        <w:jc w:val="both"/>
        <w:rPr>
          <w:rFonts w:ascii="Candara" w:hAnsi="Candara"/>
          <w:b/>
          <w:sz w:val="22"/>
          <w:szCs w:val="22"/>
        </w:rPr>
      </w:pPr>
      <w:r w:rsidRPr="00C26B1F">
        <w:rPr>
          <w:rFonts w:ascii="Candara" w:hAnsi="Candara"/>
          <w:b/>
          <w:sz w:val="22"/>
          <w:szCs w:val="22"/>
        </w:rPr>
        <w:t xml:space="preserve">1.2 </w:t>
      </w:r>
      <w:r w:rsidR="005E02C9" w:rsidRPr="00BD58E1">
        <w:rPr>
          <w:rFonts w:ascii="Candara" w:hAnsi="Candara"/>
          <w:b/>
          <w:i/>
          <w:sz w:val="22"/>
          <w:szCs w:val="22"/>
        </w:rPr>
        <w:t>—</w:t>
      </w:r>
      <w:r w:rsidR="005E02C9">
        <w:rPr>
          <w:rFonts w:ascii="Candara" w:hAnsi="Candara"/>
          <w:b/>
          <w:i/>
          <w:sz w:val="22"/>
          <w:szCs w:val="22"/>
        </w:rPr>
        <w:t xml:space="preserve"> </w:t>
      </w:r>
      <w:r w:rsidR="004723CA">
        <w:rPr>
          <w:rFonts w:ascii="Candara" w:hAnsi="Candara"/>
          <w:b/>
          <w:i/>
          <w:sz w:val="22"/>
          <w:szCs w:val="22"/>
        </w:rPr>
        <w:t xml:space="preserve">Lugar da </w:t>
      </w:r>
      <w:r w:rsidRPr="00C26B1F">
        <w:rPr>
          <w:rFonts w:ascii="Candara" w:hAnsi="Candara"/>
          <w:b/>
          <w:sz w:val="22"/>
          <w:szCs w:val="22"/>
        </w:rPr>
        <w:t>Sede</w:t>
      </w:r>
      <w:r w:rsidR="004723CA">
        <w:rPr>
          <w:rFonts w:ascii="Candara" w:hAnsi="Candara"/>
          <w:b/>
          <w:sz w:val="22"/>
          <w:szCs w:val="22"/>
        </w:rPr>
        <w:t xml:space="preserve"> Social</w:t>
      </w:r>
      <w:r w:rsidRPr="00C26B1F">
        <w:rPr>
          <w:rFonts w:ascii="Candara" w:hAnsi="Candara"/>
          <w:b/>
          <w:sz w:val="22"/>
          <w:szCs w:val="22"/>
        </w:rPr>
        <w:t>:</w:t>
      </w:r>
    </w:p>
    <w:p w:rsidR="003C008D" w:rsidRPr="00C26B1F" w:rsidRDefault="00070A44" w:rsidP="00304037">
      <w:pPr>
        <w:tabs>
          <w:tab w:val="left" w:pos="3060"/>
        </w:tabs>
        <w:spacing w:line="360" w:lineRule="atLeast"/>
        <w:jc w:val="both"/>
        <w:rPr>
          <w:rFonts w:ascii="Candara" w:hAnsi="Candara"/>
          <w:sz w:val="22"/>
          <w:szCs w:val="22"/>
        </w:rPr>
      </w:pPr>
      <w:r>
        <w:rPr>
          <w:rFonts w:ascii="Candara" w:hAnsi="Candara"/>
          <w:sz w:val="22"/>
          <w:szCs w:val="22"/>
        </w:rPr>
        <w:t>Santa Ana de Azinha</w:t>
      </w:r>
    </w:p>
    <w:p w:rsidR="003C008D" w:rsidRPr="00C26B1F" w:rsidRDefault="003C008D" w:rsidP="00304037">
      <w:pPr>
        <w:spacing w:line="360" w:lineRule="atLeast"/>
        <w:jc w:val="both"/>
        <w:rPr>
          <w:rFonts w:ascii="Candara" w:hAnsi="Candara"/>
          <w:b/>
          <w:sz w:val="22"/>
          <w:szCs w:val="22"/>
        </w:rPr>
      </w:pPr>
      <w:r w:rsidRPr="00C26B1F">
        <w:rPr>
          <w:rFonts w:ascii="Candara" w:hAnsi="Candara"/>
          <w:b/>
          <w:sz w:val="22"/>
          <w:szCs w:val="22"/>
        </w:rPr>
        <w:t xml:space="preserve">1.3 </w:t>
      </w:r>
      <w:r w:rsidR="005E02C9" w:rsidRPr="00BD58E1">
        <w:rPr>
          <w:rFonts w:ascii="Candara" w:hAnsi="Candara"/>
          <w:b/>
          <w:i/>
          <w:sz w:val="22"/>
          <w:szCs w:val="22"/>
        </w:rPr>
        <w:t>—</w:t>
      </w:r>
      <w:r w:rsidR="005E02C9">
        <w:rPr>
          <w:rFonts w:ascii="Candara" w:hAnsi="Candara"/>
          <w:b/>
          <w:i/>
          <w:sz w:val="22"/>
          <w:szCs w:val="22"/>
        </w:rPr>
        <w:t xml:space="preserve"> </w:t>
      </w:r>
      <w:r w:rsidRPr="00C26B1F">
        <w:rPr>
          <w:rFonts w:ascii="Candara" w:hAnsi="Candara"/>
          <w:b/>
          <w:sz w:val="22"/>
          <w:szCs w:val="22"/>
        </w:rPr>
        <w:t xml:space="preserve">Natureza da </w:t>
      </w:r>
      <w:r w:rsidR="00E54F84" w:rsidRPr="00C26B1F">
        <w:rPr>
          <w:rFonts w:ascii="Candara" w:hAnsi="Candara"/>
          <w:b/>
          <w:sz w:val="22"/>
          <w:szCs w:val="22"/>
        </w:rPr>
        <w:t>atividade</w:t>
      </w:r>
      <w:r w:rsidRPr="00C26B1F">
        <w:rPr>
          <w:rFonts w:ascii="Candara" w:hAnsi="Candara"/>
          <w:b/>
          <w:sz w:val="22"/>
          <w:szCs w:val="22"/>
        </w:rPr>
        <w:t>:</w:t>
      </w:r>
    </w:p>
    <w:p w:rsidR="00035557" w:rsidRPr="00C26B1F" w:rsidRDefault="00743155" w:rsidP="00304037">
      <w:pPr>
        <w:spacing w:line="360" w:lineRule="atLeast"/>
        <w:jc w:val="both"/>
        <w:rPr>
          <w:rFonts w:ascii="Candara" w:hAnsi="Candara"/>
          <w:b/>
          <w:sz w:val="22"/>
          <w:szCs w:val="22"/>
        </w:rPr>
      </w:pPr>
      <w:r w:rsidRPr="00C26B1F">
        <w:rPr>
          <w:rFonts w:ascii="Candara" w:hAnsi="Candara"/>
          <w:sz w:val="22"/>
          <w:szCs w:val="22"/>
        </w:rPr>
        <w:t>Instituição sem fins lucrativos</w:t>
      </w:r>
      <w:r w:rsidR="00C26B1F" w:rsidRPr="00C26B1F">
        <w:rPr>
          <w:rFonts w:ascii="Candara" w:hAnsi="Candara"/>
          <w:sz w:val="22"/>
          <w:szCs w:val="22"/>
        </w:rPr>
        <w:t xml:space="preserve"> (</w:t>
      </w:r>
      <w:r w:rsidR="00070A44">
        <w:rPr>
          <w:rFonts w:ascii="Candara" w:hAnsi="Candara"/>
          <w:sz w:val="22"/>
          <w:szCs w:val="22"/>
        </w:rPr>
        <w:t>IPSS</w:t>
      </w:r>
      <w:r w:rsidR="00C26B1F" w:rsidRPr="00C26B1F">
        <w:rPr>
          <w:rFonts w:ascii="Candara" w:hAnsi="Candara"/>
          <w:sz w:val="22"/>
          <w:szCs w:val="22"/>
        </w:rPr>
        <w:t>)</w:t>
      </w:r>
      <w:r w:rsidRPr="00C26B1F">
        <w:rPr>
          <w:rFonts w:ascii="Candara" w:hAnsi="Candara"/>
          <w:sz w:val="22"/>
          <w:szCs w:val="22"/>
        </w:rPr>
        <w:t xml:space="preserve"> </w:t>
      </w:r>
      <w:r w:rsidR="00070A44">
        <w:rPr>
          <w:rFonts w:ascii="Candara" w:hAnsi="Candara"/>
          <w:sz w:val="22"/>
          <w:szCs w:val="22"/>
        </w:rPr>
        <w:t xml:space="preserve"> no âmbito de apoio a idosos</w:t>
      </w:r>
    </w:p>
    <w:p w:rsidR="00E54F84" w:rsidRPr="00C26B1F" w:rsidRDefault="00E54F84" w:rsidP="00304037">
      <w:pPr>
        <w:spacing w:line="360" w:lineRule="atLeast"/>
        <w:jc w:val="both"/>
        <w:rPr>
          <w:rFonts w:ascii="Candara" w:hAnsi="Candara"/>
          <w:b/>
          <w:sz w:val="22"/>
          <w:szCs w:val="22"/>
        </w:rPr>
      </w:pPr>
    </w:p>
    <w:p w:rsidR="007368F4" w:rsidRPr="00C42BA1" w:rsidRDefault="00AF28F2" w:rsidP="00304037">
      <w:pPr>
        <w:numPr>
          <w:ilvl w:val="0"/>
          <w:numId w:val="2"/>
        </w:numPr>
        <w:spacing w:line="360" w:lineRule="atLeast"/>
        <w:ind w:left="284" w:hanging="284"/>
        <w:jc w:val="both"/>
        <w:rPr>
          <w:rFonts w:ascii="Candara" w:hAnsi="Candara"/>
          <w:b/>
          <w:sz w:val="22"/>
          <w:szCs w:val="22"/>
        </w:rPr>
      </w:pPr>
      <w:r w:rsidRPr="00C42BA1">
        <w:rPr>
          <w:rFonts w:ascii="Candara" w:hAnsi="Candara"/>
          <w:b/>
          <w:sz w:val="24"/>
          <w:szCs w:val="22"/>
        </w:rPr>
        <w:t>REFERENCIAL CONTABILÍSTICO DE PREPARAÇÃO DAS DEMONSTRAÇÕES FINANCEIRAS</w:t>
      </w:r>
    </w:p>
    <w:p w:rsidR="007368F4" w:rsidRPr="00B66FDF" w:rsidRDefault="002A1E08" w:rsidP="00304037">
      <w:pPr>
        <w:spacing w:line="360" w:lineRule="atLeast"/>
        <w:jc w:val="both"/>
        <w:rPr>
          <w:rFonts w:ascii="Candara" w:hAnsi="Candara"/>
          <w:sz w:val="22"/>
          <w:szCs w:val="22"/>
        </w:rPr>
      </w:pPr>
      <w:r w:rsidRPr="00B66FDF">
        <w:rPr>
          <w:rFonts w:ascii="Candara" w:hAnsi="Candara"/>
          <w:b/>
          <w:sz w:val="22"/>
          <w:szCs w:val="22"/>
        </w:rPr>
        <w:t>2.1</w:t>
      </w:r>
      <w:r w:rsidR="005E02C9">
        <w:rPr>
          <w:rFonts w:ascii="Candara" w:hAnsi="Candara"/>
          <w:b/>
          <w:sz w:val="22"/>
          <w:szCs w:val="22"/>
        </w:rPr>
        <w:t xml:space="preserve"> </w:t>
      </w:r>
      <w:r w:rsidR="005E02C9" w:rsidRPr="00BD58E1">
        <w:rPr>
          <w:rFonts w:ascii="Candara" w:hAnsi="Candara"/>
          <w:b/>
          <w:i/>
          <w:sz w:val="22"/>
          <w:szCs w:val="22"/>
        </w:rPr>
        <w:t>—</w:t>
      </w:r>
      <w:r w:rsidRPr="00B66FDF">
        <w:rPr>
          <w:rFonts w:ascii="Candara" w:hAnsi="Candara"/>
          <w:sz w:val="22"/>
          <w:szCs w:val="22"/>
        </w:rPr>
        <w:t xml:space="preserve"> </w:t>
      </w:r>
      <w:r w:rsidR="007368F4" w:rsidRPr="00B66FDF">
        <w:rPr>
          <w:rFonts w:ascii="Candara" w:hAnsi="Candara"/>
          <w:sz w:val="22"/>
          <w:szCs w:val="22"/>
        </w:rPr>
        <w:t>As demonstrações financeiras apresentadas têm como referencial contabilístico o Sistema de Normalização Contabilístic</w:t>
      </w:r>
      <w:r w:rsidR="00DA488B" w:rsidRPr="00B66FDF">
        <w:rPr>
          <w:rFonts w:ascii="Candara" w:hAnsi="Candara"/>
          <w:sz w:val="22"/>
          <w:szCs w:val="22"/>
        </w:rPr>
        <w:t>a</w:t>
      </w:r>
      <w:r w:rsidR="007368F4" w:rsidRPr="00B66FDF">
        <w:rPr>
          <w:rFonts w:ascii="Candara" w:hAnsi="Candara"/>
          <w:sz w:val="22"/>
          <w:szCs w:val="22"/>
        </w:rPr>
        <w:t xml:space="preserve">, </w:t>
      </w:r>
      <w:r w:rsidR="003F1C15" w:rsidRPr="00B66FDF">
        <w:rPr>
          <w:rFonts w:ascii="Candara" w:hAnsi="Candara"/>
          <w:sz w:val="22"/>
          <w:szCs w:val="22"/>
        </w:rPr>
        <w:t xml:space="preserve">tendo sido </w:t>
      </w:r>
      <w:r w:rsidR="00E54F84" w:rsidRPr="00B66FDF">
        <w:rPr>
          <w:rFonts w:ascii="Candara" w:hAnsi="Candara"/>
          <w:sz w:val="22"/>
          <w:szCs w:val="22"/>
        </w:rPr>
        <w:t>adotada</w:t>
      </w:r>
      <w:r w:rsidR="0074780A" w:rsidRPr="00B66FDF">
        <w:rPr>
          <w:rFonts w:ascii="Candara" w:hAnsi="Candara"/>
          <w:sz w:val="22"/>
          <w:szCs w:val="22"/>
        </w:rPr>
        <w:t xml:space="preserve"> a Norm</w:t>
      </w:r>
      <w:r w:rsidR="003F1C15" w:rsidRPr="00B66FDF">
        <w:rPr>
          <w:rFonts w:ascii="Candara" w:hAnsi="Candara"/>
          <w:sz w:val="22"/>
          <w:szCs w:val="22"/>
        </w:rPr>
        <w:t>a</w:t>
      </w:r>
      <w:r w:rsidR="00496CBF" w:rsidRPr="00B66FDF">
        <w:rPr>
          <w:rFonts w:ascii="Candara" w:hAnsi="Candara"/>
          <w:sz w:val="22"/>
          <w:szCs w:val="22"/>
        </w:rPr>
        <w:t xml:space="preserve"> Contabilística e de Relato Financeiro</w:t>
      </w:r>
      <w:r w:rsidR="00F0514B" w:rsidRPr="00B66FDF">
        <w:rPr>
          <w:rFonts w:ascii="Candara" w:hAnsi="Candara"/>
          <w:sz w:val="22"/>
          <w:szCs w:val="22"/>
        </w:rPr>
        <w:t xml:space="preserve"> </w:t>
      </w:r>
      <w:r w:rsidR="003F1C15" w:rsidRPr="00B66FDF">
        <w:rPr>
          <w:rFonts w:ascii="Candara" w:hAnsi="Candara"/>
          <w:sz w:val="22"/>
          <w:szCs w:val="22"/>
        </w:rPr>
        <w:t xml:space="preserve">para </w:t>
      </w:r>
      <w:r w:rsidR="008A4B8B" w:rsidRPr="00B66FDF">
        <w:rPr>
          <w:rFonts w:ascii="Candara" w:hAnsi="Candara"/>
          <w:sz w:val="22"/>
          <w:szCs w:val="22"/>
        </w:rPr>
        <w:t xml:space="preserve">as Entidades do Setor não Lucrativo (NCRF-ESNL), </w:t>
      </w:r>
      <w:r w:rsidR="003F1C15" w:rsidRPr="00B66FDF">
        <w:rPr>
          <w:rFonts w:ascii="Candara" w:hAnsi="Candara"/>
          <w:sz w:val="22"/>
          <w:szCs w:val="22"/>
        </w:rPr>
        <w:t xml:space="preserve">de acordo com o disposto no </w:t>
      </w:r>
      <w:r w:rsidR="008A4B8B" w:rsidRPr="00B66FDF">
        <w:rPr>
          <w:rFonts w:ascii="Candara" w:hAnsi="Candara"/>
          <w:sz w:val="22"/>
          <w:szCs w:val="22"/>
        </w:rPr>
        <w:t>Decreto-L</w:t>
      </w:r>
      <w:r w:rsidR="00A96894" w:rsidRPr="00B66FDF">
        <w:rPr>
          <w:rFonts w:ascii="Candara" w:hAnsi="Candara"/>
          <w:sz w:val="22"/>
          <w:szCs w:val="22"/>
        </w:rPr>
        <w:t xml:space="preserve">ei n.º 36-A/2011, de 9 de Março, com as alterações </w:t>
      </w:r>
      <w:r w:rsidR="00DE4A5C">
        <w:rPr>
          <w:rFonts w:ascii="Candara" w:hAnsi="Candara"/>
          <w:sz w:val="22"/>
          <w:szCs w:val="22"/>
        </w:rPr>
        <w:t>previstas</w:t>
      </w:r>
      <w:r w:rsidR="00A96894" w:rsidRPr="00B66FDF">
        <w:rPr>
          <w:rFonts w:ascii="Candara" w:hAnsi="Candara"/>
          <w:sz w:val="22"/>
          <w:szCs w:val="22"/>
        </w:rPr>
        <w:t xml:space="preserve"> </w:t>
      </w:r>
      <w:r w:rsidR="00DE4A5C">
        <w:rPr>
          <w:rFonts w:ascii="Candara" w:hAnsi="Candara"/>
          <w:sz w:val="22"/>
          <w:szCs w:val="22"/>
        </w:rPr>
        <w:t>n</w:t>
      </w:r>
      <w:r w:rsidR="00A96894" w:rsidRPr="00B66FDF">
        <w:rPr>
          <w:rFonts w:ascii="Candara" w:hAnsi="Candara"/>
          <w:sz w:val="22"/>
          <w:szCs w:val="22"/>
        </w:rPr>
        <w:t>o Decreto-Lei n.º 98/2015, de 2 de Junho</w:t>
      </w:r>
      <w:r w:rsidR="00B66FDF" w:rsidRPr="00B66FDF">
        <w:rPr>
          <w:rFonts w:ascii="Candara" w:hAnsi="Candara"/>
          <w:sz w:val="22"/>
          <w:szCs w:val="22"/>
        </w:rPr>
        <w:t>.</w:t>
      </w:r>
    </w:p>
    <w:p w:rsidR="00D479D5" w:rsidRPr="00C42BA1" w:rsidRDefault="002A1E08" w:rsidP="00304037">
      <w:pPr>
        <w:spacing w:line="360" w:lineRule="atLeast"/>
        <w:jc w:val="both"/>
        <w:rPr>
          <w:rFonts w:ascii="Candara" w:hAnsi="Candara"/>
          <w:b/>
          <w:i/>
          <w:sz w:val="22"/>
          <w:szCs w:val="22"/>
        </w:rPr>
      </w:pPr>
      <w:r w:rsidRPr="00C42BA1">
        <w:rPr>
          <w:rFonts w:ascii="Candara" w:hAnsi="Candara"/>
          <w:b/>
          <w:i/>
          <w:sz w:val="22"/>
          <w:szCs w:val="22"/>
        </w:rPr>
        <w:t>2.2</w:t>
      </w:r>
      <w:r w:rsidR="005E02C9">
        <w:rPr>
          <w:rFonts w:ascii="Candara" w:hAnsi="Candara"/>
          <w:b/>
          <w:i/>
          <w:sz w:val="22"/>
          <w:szCs w:val="22"/>
        </w:rPr>
        <w:t xml:space="preserve"> </w:t>
      </w:r>
      <w:r w:rsidR="005E02C9" w:rsidRPr="00BD58E1">
        <w:rPr>
          <w:rFonts w:ascii="Candara" w:hAnsi="Candara"/>
          <w:b/>
          <w:i/>
          <w:sz w:val="22"/>
          <w:szCs w:val="22"/>
        </w:rPr>
        <w:t>—</w:t>
      </w:r>
      <w:r w:rsidRPr="00C42BA1">
        <w:rPr>
          <w:rFonts w:ascii="Candara" w:hAnsi="Candara"/>
          <w:b/>
          <w:i/>
          <w:sz w:val="22"/>
          <w:szCs w:val="22"/>
        </w:rPr>
        <w:t xml:space="preserve"> </w:t>
      </w:r>
      <w:r w:rsidR="00D479D5" w:rsidRPr="00C42BA1">
        <w:rPr>
          <w:rFonts w:ascii="Candara" w:hAnsi="Candara"/>
          <w:b/>
          <w:i/>
          <w:sz w:val="22"/>
          <w:szCs w:val="22"/>
        </w:rPr>
        <w:t>Indicação e j</w:t>
      </w:r>
      <w:r w:rsidR="00CB68B8" w:rsidRPr="00C42BA1">
        <w:rPr>
          <w:rFonts w:ascii="Candara" w:hAnsi="Candara"/>
          <w:b/>
          <w:i/>
          <w:sz w:val="22"/>
          <w:szCs w:val="22"/>
        </w:rPr>
        <w:t>ustificação das disposições d</w:t>
      </w:r>
      <w:r w:rsidR="00E54F84" w:rsidRPr="00C42BA1">
        <w:rPr>
          <w:rFonts w:ascii="Candara" w:hAnsi="Candara"/>
          <w:b/>
          <w:i/>
          <w:sz w:val="22"/>
          <w:szCs w:val="22"/>
        </w:rPr>
        <w:t>a normalização contabilíst</w:t>
      </w:r>
      <w:r w:rsidR="005A1D9C" w:rsidRPr="00C42BA1">
        <w:rPr>
          <w:rFonts w:ascii="Candara" w:hAnsi="Candara"/>
          <w:b/>
          <w:i/>
          <w:sz w:val="22"/>
          <w:szCs w:val="22"/>
        </w:rPr>
        <w:t>ica para as entidades do sector não lucrativo (ESNL)</w:t>
      </w:r>
      <w:r w:rsidR="00D479D5" w:rsidRPr="00C42BA1">
        <w:rPr>
          <w:rFonts w:ascii="Candara" w:hAnsi="Candara"/>
          <w:b/>
          <w:i/>
          <w:sz w:val="22"/>
          <w:szCs w:val="22"/>
        </w:rPr>
        <w:t xml:space="preserve"> que, em casos excecionais, tenham sido derrogadas e dos respetivos efeitos </w:t>
      </w:r>
      <w:bookmarkStart w:id="0" w:name="OLE_LINK1"/>
      <w:r w:rsidR="00D479D5" w:rsidRPr="00C42BA1">
        <w:rPr>
          <w:rFonts w:ascii="Candara" w:hAnsi="Candara"/>
          <w:b/>
          <w:i/>
          <w:sz w:val="22"/>
          <w:szCs w:val="22"/>
        </w:rPr>
        <w:t xml:space="preserve">nas demonstrações financeiras, tendo em vista a necessidade de estas darem uma imagem verdadeira </w:t>
      </w:r>
      <w:bookmarkEnd w:id="0"/>
      <w:r w:rsidR="00D479D5" w:rsidRPr="00C42BA1">
        <w:rPr>
          <w:rFonts w:ascii="Candara" w:hAnsi="Candara"/>
          <w:b/>
          <w:i/>
          <w:sz w:val="22"/>
          <w:szCs w:val="22"/>
        </w:rPr>
        <w:t>e apropriada do ativo, do passivo e dos resultados da entidade.</w:t>
      </w:r>
    </w:p>
    <w:p w:rsidR="00C05D21" w:rsidRPr="00C42BA1" w:rsidRDefault="00C05D21" w:rsidP="00304037">
      <w:pPr>
        <w:spacing w:line="360" w:lineRule="atLeast"/>
        <w:jc w:val="both"/>
        <w:rPr>
          <w:rFonts w:ascii="Candara" w:hAnsi="Candara"/>
          <w:sz w:val="22"/>
          <w:szCs w:val="22"/>
        </w:rPr>
      </w:pPr>
      <w:r w:rsidRPr="00C42BA1">
        <w:rPr>
          <w:rFonts w:ascii="Candara" w:hAnsi="Candara"/>
          <w:sz w:val="22"/>
          <w:szCs w:val="22"/>
        </w:rPr>
        <w:t xml:space="preserve">As demonstrações financeiras foram preparadas a partir dos livros e registos contabilísticos da </w:t>
      </w:r>
      <w:r w:rsidR="004E2AD7" w:rsidRPr="00C42BA1">
        <w:rPr>
          <w:rFonts w:ascii="Candara" w:hAnsi="Candara"/>
          <w:sz w:val="22"/>
          <w:szCs w:val="22"/>
        </w:rPr>
        <w:t>Instituição</w:t>
      </w:r>
      <w:r w:rsidRPr="00C42BA1">
        <w:rPr>
          <w:rFonts w:ascii="Candara" w:hAnsi="Candara"/>
          <w:sz w:val="22"/>
          <w:szCs w:val="22"/>
        </w:rPr>
        <w:t xml:space="preserve">, mantidos de acordo com as disposições do </w:t>
      </w:r>
      <w:r w:rsidR="004E2AD7" w:rsidRPr="00C42BA1">
        <w:rPr>
          <w:rFonts w:ascii="Candara" w:hAnsi="Candara"/>
          <w:sz w:val="22"/>
          <w:szCs w:val="22"/>
        </w:rPr>
        <w:t>SNC-ESNL</w:t>
      </w:r>
      <w:r w:rsidRPr="00C42BA1">
        <w:rPr>
          <w:rFonts w:ascii="Candara" w:hAnsi="Candara"/>
          <w:sz w:val="22"/>
          <w:szCs w:val="22"/>
        </w:rPr>
        <w:t xml:space="preserve"> em vigor, com a flexibilidade permitida em função da situação concreta. Os </w:t>
      </w:r>
      <w:r w:rsidR="007368F4" w:rsidRPr="00C42BA1">
        <w:rPr>
          <w:rFonts w:ascii="Candara" w:hAnsi="Candara"/>
          <w:sz w:val="22"/>
          <w:szCs w:val="22"/>
        </w:rPr>
        <w:t xml:space="preserve">pressupostos subjacentes, características qualitativas das Demonstrações Financeiras </w:t>
      </w:r>
      <w:r w:rsidRPr="00C42BA1">
        <w:rPr>
          <w:rFonts w:ascii="Candara" w:hAnsi="Candara"/>
          <w:sz w:val="22"/>
          <w:szCs w:val="22"/>
        </w:rPr>
        <w:t>e normas contabilísticas adequadas foram aplicados com ponderação. As contas apresentadas expressam, com clareza, uma imagem verdadeira e apropriada do património, da posição financeira e dos resultados das operações realizadas no período a que se reportam. Adotaram-se, também, as práticas contabilísticas consignadas</w:t>
      </w:r>
      <w:r w:rsidR="00267D36" w:rsidRPr="00C42BA1">
        <w:rPr>
          <w:rFonts w:ascii="Candara" w:hAnsi="Candara"/>
          <w:sz w:val="22"/>
          <w:szCs w:val="22"/>
        </w:rPr>
        <w:t xml:space="preserve"> na legislação fiscal em vigor.</w:t>
      </w:r>
      <w:r w:rsidR="00A8373B" w:rsidRPr="00C42BA1">
        <w:rPr>
          <w:rFonts w:ascii="Candara" w:hAnsi="Candara"/>
          <w:sz w:val="22"/>
          <w:szCs w:val="22"/>
        </w:rPr>
        <w:t xml:space="preserve"> </w:t>
      </w:r>
      <w:r w:rsidR="00A1456F" w:rsidRPr="00C42BA1">
        <w:rPr>
          <w:rFonts w:ascii="Candara" w:hAnsi="Candara"/>
          <w:sz w:val="22"/>
          <w:szCs w:val="22"/>
        </w:rPr>
        <w:t>No presente exercício não foram derrogadas quaisquer disposições do SNC.</w:t>
      </w:r>
    </w:p>
    <w:p w:rsidR="00D479D5" w:rsidRPr="00C42BA1" w:rsidRDefault="00D479D5" w:rsidP="00304037">
      <w:pPr>
        <w:spacing w:line="360" w:lineRule="atLeast"/>
        <w:jc w:val="both"/>
        <w:rPr>
          <w:rFonts w:ascii="Candara" w:hAnsi="Candara"/>
          <w:b/>
          <w:i/>
          <w:sz w:val="22"/>
          <w:szCs w:val="22"/>
        </w:rPr>
      </w:pPr>
      <w:r w:rsidRPr="00C42BA1">
        <w:rPr>
          <w:rFonts w:ascii="Candara" w:hAnsi="Candara"/>
          <w:b/>
          <w:i/>
          <w:sz w:val="22"/>
          <w:szCs w:val="22"/>
        </w:rPr>
        <w:t>2.3</w:t>
      </w:r>
      <w:r w:rsidR="005E02C9">
        <w:rPr>
          <w:rFonts w:ascii="Candara" w:hAnsi="Candara"/>
          <w:b/>
          <w:i/>
          <w:sz w:val="22"/>
          <w:szCs w:val="22"/>
        </w:rPr>
        <w:t xml:space="preserve"> </w:t>
      </w:r>
      <w:r w:rsidR="005E02C9" w:rsidRPr="00BD58E1">
        <w:rPr>
          <w:rFonts w:ascii="Candara" w:hAnsi="Candara"/>
          <w:b/>
          <w:i/>
          <w:sz w:val="22"/>
          <w:szCs w:val="22"/>
        </w:rPr>
        <w:t>—</w:t>
      </w:r>
      <w:r w:rsidRPr="00C42BA1">
        <w:rPr>
          <w:rFonts w:ascii="Candara" w:hAnsi="Candara"/>
          <w:b/>
          <w:i/>
          <w:sz w:val="22"/>
          <w:szCs w:val="22"/>
        </w:rPr>
        <w:t xml:space="preserve"> Indicação e comentário das contas do balanço e da demonstração dos resultados cujos conteúdos não sejam comparáve</w:t>
      </w:r>
      <w:r w:rsidR="00C42BA1" w:rsidRPr="00C42BA1">
        <w:rPr>
          <w:rFonts w:ascii="Candara" w:hAnsi="Candara"/>
          <w:b/>
          <w:i/>
          <w:sz w:val="22"/>
          <w:szCs w:val="22"/>
        </w:rPr>
        <w:t xml:space="preserve">is com os do </w:t>
      </w:r>
      <w:r w:rsidR="004723CA">
        <w:rPr>
          <w:rFonts w:ascii="Candara" w:hAnsi="Candara"/>
          <w:b/>
          <w:i/>
          <w:sz w:val="22"/>
          <w:szCs w:val="22"/>
        </w:rPr>
        <w:t xml:space="preserve">período </w:t>
      </w:r>
      <w:r w:rsidR="00C42BA1" w:rsidRPr="00C42BA1">
        <w:rPr>
          <w:rFonts w:ascii="Candara" w:hAnsi="Candara"/>
          <w:b/>
          <w:i/>
          <w:sz w:val="22"/>
          <w:szCs w:val="22"/>
        </w:rPr>
        <w:t>anterior, bem como das quantias relativas ao período anterior que tenham sido ajustadas.</w:t>
      </w:r>
    </w:p>
    <w:p w:rsidR="00DE4A5C" w:rsidRDefault="00C24D67" w:rsidP="00304037">
      <w:pPr>
        <w:spacing w:line="360" w:lineRule="atLeast"/>
        <w:jc w:val="both"/>
        <w:rPr>
          <w:rFonts w:ascii="Candara" w:hAnsi="Candara"/>
          <w:sz w:val="22"/>
          <w:szCs w:val="22"/>
        </w:rPr>
      </w:pPr>
      <w:r w:rsidRPr="00C42BA1">
        <w:rPr>
          <w:rFonts w:ascii="Candara" w:hAnsi="Candara"/>
          <w:sz w:val="22"/>
          <w:szCs w:val="22"/>
        </w:rPr>
        <w:t>As demonstrações financeiras do ex</w:t>
      </w:r>
      <w:r w:rsidR="00C42BA1" w:rsidRPr="00C42BA1">
        <w:rPr>
          <w:rFonts w:ascii="Candara" w:hAnsi="Candara"/>
          <w:sz w:val="22"/>
          <w:szCs w:val="22"/>
        </w:rPr>
        <w:t>ercício de 2016</w:t>
      </w:r>
      <w:r w:rsidRPr="00C42BA1">
        <w:rPr>
          <w:rFonts w:ascii="Candara" w:hAnsi="Candara"/>
          <w:sz w:val="22"/>
          <w:szCs w:val="22"/>
        </w:rPr>
        <w:t xml:space="preserve"> são comparáveis </w:t>
      </w:r>
      <w:r w:rsidR="00CA43A6" w:rsidRPr="00C42BA1">
        <w:rPr>
          <w:rFonts w:ascii="Candara" w:hAnsi="Candara"/>
          <w:sz w:val="22"/>
          <w:szCs w:val="22"/>
        </w:rPr>
        <w:t>as do exercício de 201</w:t>
      </w:r>
      <w:r w:rsidR="00C42BA1" w:rsidRPr="00C42BA1">
        <w:rPr>
          <w:rFonts w:ascii="Candara" w:hAnsi="Candara"/>
          <w:sz w:val="22"/>
          <w:szCs w:val="22"/>
        </w:rPr>
        <w:t>5</w:t>
      </w:r>
      <w:r w:rsidRPr="00C42BA1">
        <w:rPr>
          <w:rFonts w:ascii="Candara" w:hAnsi="Candara"/>
          <w:sz w:val="22"/>
          <w:szCs w:val="22"/>
        </w:rPr>
        <w:t>.</w:t>
      </w:r>
      <w:r w:rsidR="00DE4A5C">
        <w:rPr>
          <w:rFonts w:ascii="Candara" w:hAnsi="Candara"/>
          <w:sz w:val="22"/>
          <w:szCs w:val="22"/>
        </w:rPr>
        <w:t xml:space="preserve"> </w:t>
      </w:r>
    </w:p>
    <w:p w:rsidR="00C24D67" w:rsidRPr="00C42BA1" w:rsidRDefault="00DE4A5C" w:rsidP="00304037">
      <w:pPr>
        <w:spacing w:line="360" w:lineRule="atLeast"/>
        <w:jc w:val="both"/>
        <w:rPr>
          <w:rFonts w:ascii="Candara" w:hAnsi="Candara"/>
          <w:sz w:val="22"/>
          <w:szCs w:val="22"/>
        </w:rPr>
      </w:pPr>
      <w:r>
        <w:rPr>
          <w:rFonts w:ascii="Candara" w:hAnsi="Candara"/>
          <w:sz w:val="22"/>
          <w:szCs w:val="22"/>
        </w:rPr>
        <w:t xml:space="preserve">Decorrente da publicação do </w:t>
      </w:r>
      <w:r w:rsidRPr="00B66FDF">
        <w:rPr>
          <w:rFonts w:ascii="Candara" w:hAnsi="Candara"/>
          <w:sz w:val="22"/>
          <w:szCs w:val="22"/>
        </w:rPr>
        <w:t>Decreto-Lei n.º 98/2015, de 2 de Junho</w:t>
      </w:r>
      <w:r>
        <w:rPr>
          <w:rFonts w:ascii="Candara" w:hAnsi="Candara"/>
          <w:sz w:val="22"/>
          <w:szCs w:val="22"/>
        </w:rPr>
        <w:t xml:space="preserve">, as anteriores normas contabilísticas foram objeto de alterações, implicando a revisão dos modelos de demonstrações financeiras em vigor até 31 de dezembro de 2015, através da </w:t>
      </w:r>
      <w:r w:rsidRPr="00DE4A5C">
        <w:rPr>
          <w:rFonts w:ascii="Candara" w:hAnsi="Candara"/>
          <w:sz w:val="22"/>
          <w:szCs w:val="22"/>
        </w:rPr>
        <w:t>Portaria n.º 220/2015</w:t>
      </w:r>
      <w:r>
        <w:rPr>
          <w:rFonts w:ascii="Candara" w:hAnsi="Candara"/>
          <w:sz w:val="22"/>
          <w:szCs w:val="22"/>
        </w:rPr>
        <w:t xml:space="preserve">, </w:t>
      </w:r>
      <w:r w:rsidRPr="00DE4A5C">
        <w:rPr>
          <w:rFonts w:ascii="Candara" w:hAnsi="Candara"/>
          <w:sz w:val="22"/>
          <w:szCs w:val="22"/>
        </w:rPr>
        <w:t>de 24 de julho</w:t>
      </w:r>
      <w:r>
        <w:rPr>
          <w:rFonts w:ascii="Candara" w:hAnsi="Candara"/>
          <w:sz w:val="22"/>
          <w:szCs w:val="22"/>
        </w:rPr>
        <w:t xml:space="preserve">. </w:t>
      </w:r>
    </w:p>
    <w:p w:rsidR="00DE4A5C" w:rsidRPr="00C42BA1" w:rsidRDefault="00DE4A5C" w:rsidP="00304037">
      <w:pPr>
        <w:spacing w:line="360" w:lineRule="atLeast"/>
        <w:jc w:val="both"/>
        <w:rPr>
          <w:rFonts w:ascii="Candara" w:hAnsi="Candara"/>
          <w:sz w:val="22"/>
          <w:szCs w:val="22"/>
        </w:rPr>
      </w:pPr>
    </w:p>
    <w:p w:rsidR="00024214" w:rsidRPr="00DE4A5C" w:rsidRDefault="00AF28F2" w:rsidP="00304037">
      <w:pPr>
        <w:numPr>
          <w:ilvl w:val="0"/>
          <w:numId w:val="2"/>
        </w:numPr>
        <w:spacing w:line="360" w:lineRule="atLeast"/>
        <w:ind w:left="284" w:hanging="284"/>
        <w:jc w:val="both"/>
        <w:rPr>
          <w:rFonts w:ascii="Candara" w:hAnsi="Candara"/>
          <w:b/>
          <w:sz w:val="24"/>
          <w:szCs w:val="22"/>
        </w:rPr>
      </w:pPr>
      <w:r w:rsidRPr="00DE4A5C">
        <w:rPr>
          <w:rFonts w:ascii="Candara" w:hAnsi="Candara"/>
          <w:b/>
          <w:sz w:val="24"/>
          <w:szCs w:val="22"/>
        </w:rPr>
        <w:t>POLÍTICAS CONTABILÍSTICAS</w:t>
      </w:r>
      <w:r w:rsidR="00DE4A5C" w:rsidRPr="00DE4A5C">
        <w:rPr>
          <w:rFonts w:ascii="Candara" w:hAnsi="Candara"/>
          <w:b/>
          <w:sz w:val="24"/>
          <w:szCs w:val="22"/>
        </w:rPr>
        <w:t>, ALTERAÇÕES NAS ESTIMATIVAS CONTABILÍSTICAS E ERROS</w:t>
      </w:r>
    </w:p>
    <w:p w:rsidR="00024214" w:rsidRDefault="00024214" w:rsidP="00304037">
      <w:pPr>
        <w:spacing w:line="360" w:lineRule="atLeast"/>
        <w:jc w:val="both"/>
        <w:rPr>
          <w:rFonts w:ascii="Candara" w:hAnsi="Candara"/>
          <w:b/>
          <w:sz w:val="22"/>
          <w:szCs w:val="22"/>
        </w:rPr>
      </w:pPr>
    </w:p>
    <w:p w:rsidR="00195EF2" w:rsidRPr="00195EF2" w:rsidRDefault="00195EF2" w:rsidP="00304037">
      <w:pPr>
        <w:spacing w:line="360" w:lineRule="atLeast"/>
        <w:jc w:val="both"/>
        <w:rPr>
          <w:rFonts w:ascii="Candara" w:hAnsi="Candara"/>
          <w:b/>
          <w:i/>
          <w:sz w:val="22"/>
          <w:szCs w:val="22"/>
        </w:rPr>
      </w:pPr>
      <w:r w:rsidRPr="00195EF2">
        <w:rPr>
          <w:rFonts w:ascii="Candara" w:hAnsi="Candara"/>
          <w:b/>
          <w:i/>
          <w:sz w:val="22"/>
          <w:szCs w:val="22"/>
        </w:rPr>
        <w:lastRenderedPageBreak/>
        <w:t xml:space="preserve">3.1 </w:t>
      </w:r>
      <w:r w:rsidR="00BD58E1">
        <w:rPr>
          <w:rFonts w:ascii="Candara" w:hAnsi="Candara"/>
          <w:b/>
          <w:i/>
          <w:sz w:val="22"/>
          <w:szCs w:val="22"/>
        </w:rPr>
        <w:t xml:space="preserve"> </w:t>
      </w:r>
      <w:r w:rsidR="00BD58E1" w:rsidRPr="00BD58E1">
        <w:rPr>
          <w:rFonts w:ascii="Candara" w:hAnsi="Candara"/>
          <w:b/>
          <w:i/>
          <w:sz w:val="22"/>
          <w:szCs w:val="22"/>
        </w:rPr>
        <w:t>—</w:t>
      </w:r>
      <w:r w:rsidR="00BD58E1">
        <w:rPr>
          <w:rFonts w:ascii="Candara" w:hAnsi="Candara"/>
          <w:b/>
          <w:i/>
          <w:sz w:val="22"/>
          <w:szCs w:val="22"/>
        </w:rPr>
        <w:t xml:space="preserve"> </w:t>
      </w:r>
      <w:r w:rsidRPr="00195EF2">
        <w:rPr>
          <w:rFonts w:ascii="Candara" w:hAnsi="Candara"/>
          <w:b/>
          <w:i/>
          <w:sz w:val="22"/>
          <w:szCs w:val="22"/>
        </w:rPr>
        <w:t>Principais políticas contabilísticas:</w:t>
      </w:r>
    </w:p>
    <w:p w:rsidR="00195EF2" w:rsidRPr="00DE4A5C" w:rsidRDefault="00195EF2" w:rsidP="00304037">
      <w:pPr>
        <w:spacing w:line="360" w:lineRule="atLeast"/>
        <w:jc w:val="both"/>
        <w:rPr>
          <w:rFonts w:ascii="Candara" w:hAnsi="Candara"/>
          <w:b/>
          <w:sz w:val="22"/>
          <w:szCs w:val="22"/>
        </w:rPr>
      </w:pPr>
    </w:p>
    <w:p w:rsidR="003A6866" w:rsidRPr="00F64DBC" w:rsidRDefault="003A6866" w:rsidP="00304037">
      <w:pPr>
        <w:numPr>
          <w:ilvl w:val="0"/>
          <w:numId w:val="4"/>
        </w:numPr>
        <w:spacing w:line="360" w:lineRule="atLeast"/>
        <w:jc w:val="both"/>
        <w:rPr>
          <w:rFonts w:ascii="Candara" w:hAnsi="Candara"/>
          <w:b/>
          <w:i/>
          <w:sz w:val="22"/>
          <w:szCs w:val="22"/>
        </w:rPr>
      </w:pPr>
      <w:r w:rsidRPr="00F64DBC">
        <w:rPr>
          <w:rFonts w:ascii="Candara" w:hAnsi="Candara"/>
          <w:b/>
          <w:i/>
          <w:sz w:val="22"/>
          <w:szCs w:val="22"/>
        </w:rPr>
        <w:t xml:space="preserve">Bases </w:t>
      </w:r>
      <w:r w:rsidR="00195EF2" w:rsidRPr="00F64DBC">
        <w:rPr>
          <w:rFonts w:ascii="Candara" w:hAnsi="Candara"/>
          <w:b/>
          <w:i/>
          <w:sz w:val="22"/>
          <w:szCs w:val="22"/>
        </w:rPr>
        <w:t xml:space="preserve">gerais </w:t>
      </w:r>
      <w:r w:rsidRPr="00F64DBC">
        <w:rPr>
          <w:rFonts w:ascii="Candara" w:hAnsi="Candara"/>
          <w:b/>
          <w:i/>
          <w:sz w:val="22"/>
          <w:szCs w:val="22"/>
        </w:rPr>
        <w:t>de mensuração usadas na preparação das demonstrações financeiras:</w:t>
      </w:r>
    </w:p>
    <w:p w:rsidR="00023124" w:rsidRPr="00F64DBC" w:rsidRDefault="00023124" w:rsidP="00304037">
      <w:pPr>
        <w:spacing w:line="360" w:lineRule="atLeast"/>
        <w:ind w:left="360"/>
        <w:jc w:val="both"/>
        <w:rPr>
          <w:rFonts w:ascii="Candara" w:hAnsi="Candara"/>
          <w:sz w:val="22"/>
          <w:szCs w:val="22"/>
        </w:rPr>
      </w:pPr>
      <w:r w:rsidRPr="00F64DBC">
        <w:rPr>
          <w:rFonts w:ascii="Candara" w:hAnsi="Candara"/>
          <w:sz w:val="22"/>
          <w:szCs w:val="22"/>
        </w:rPr>
        <w:t xml:space="preserve">As Demonstrações financeiras foram preparadas de acordo com o princípio do custo histórico, </w:t>
      </w:r>
      <w:r w:rsidR="00F55B55" w:rsidRPr="00F64DBC">
        <w:rPr>
          <w:rFonts w:ascii="Candara" w:hAnsi="Candara"/>
          <w:sz w:val="22"/>
          <w:szCs w:val="22"/>
        </w:rPr>
        <w:t xml:space="preserve">a partir dos livros e registos contabilísticos da </w:t>
      </w:r>
      <w:r w:rsidR="0002703F" w:rsidRPr="00F64DBC">
        <w:rPr>
          <w:rFonts w:ascii="Candara" w:hAnsi="Candara"/>
          <w:sz w:val="22"/>
          <w:szCs w:val="22"/>
        </w:rPr>
        <w:t>entidade</w:t>
      </w:r>
      <w:r w:rsidR="00F55B55" w:rsidRPr="00F64DBC">
        <w:rPr>
          <w:rFonts w:ascii="Candara" w:hAnsi="Candara"/>
          <w:sz w:val="22"/>
          <w:szCs w:val="22"/>
        </w:rPr>
        <w:t>, de acordo com as normas contabilísticas e de relato financeiro.</w:t>
      </w:r>
    </w:p>
    <w:p w:rsidR="00D87BE9" w:rsidRPr="00F64DBC" w:rsidRDefault="00D87BE9" w:rsidP="00304037">
      <w:pPr>
        <w:spacing w:line="360" w:lineRule="atLeast"/>
        <w:ind w:left="360"/>
        <w:jc w:val="both"/>
        <w:rPr>
          <w:rFonts w:ascii="Candara" w:hAnsi="Candara"/>
          <w:b/>
          <w:i/>
          <w:sz w:val="22"/>
          <w:szCs w:val="22"/>
        </w:rPr>
      </w:pPr>
      <w:r w:rsidRPr="00F64DBC">
        <w:rPr>
          <w:rFonts w:ascii="Candara" w:hAnsi="Candara"/>
          <w:b/>
          <w:i/>
          <w:sz w:val="22"/>
          <w:szCs w:val="22"/>
        </w:rPr>
        <w:t>Moeda funcional e de apresentação</w:t>
      </w:r>
    </w:p>
    <w:p w:rsidR="0048048A" w:rsidRPr="00F64DBC" w:rsidRDefault="0048048A" w:rsidP="00304037">
      <w:pPr>
        <w:spacing w:line="360" w:lineRule="atLeast"/>
        <w:ind w:left="360"/>
        <w:jc w:val="both"/>
        <w:rPr>
          <w:rFonts w:ascii="Candara" w:hAnsi="Candara"/>
          <w:sz w:val="22"/>
          <w:szCs w:val="22"/>
        </w:rPr>
      </w:pPr>
      <w:r w:rsidRPr="00F64DBC">
        <w:rPr>
          <w:rFonts w:ascii="Candara" w:hAnsi="Candara"/>
          <w:sz w:val="22"/>
          <w:szCs w:val="22"/>
        </w:rPr>
        <w:t>As demonstrações financeiras são apresentadas em euros. O euro é a moeda funcional e de apresentação.</w:t>
      </w:r>
    </w:p>
    <w:p w:rsidR="00BA09FA" w:rsidRPr="00F64DBC" w:rsidRDefault="00BA09FA" w:rsidP="00304037">
      <w:pPr>
        <w:spacing w:line="360" w:lineRule="atLeast"/>
        <w:ind w:left="360"/>
        <w:jc w:val="both"/>
        <w:rPr>
          <w:rFonts w:ascii="Candara" w:hAnsi="Candara"/>
          <w:i/>
          <w:sz w:val="22"/>
          <w:szCs w:val="22"/>
        </w:rPr>
      </w:pPr>
      <w:r w:rsidRPr="00F64DBC">
        <w:rPr>
          <w:rFonts w:ascii="Candara" w:hAnsi="Candara"/>
          <w:b/>
          <w:i/>
          <w:sz w:val="22"/>
          <w:szCs w:val="22"/>
        </w:rPr>
        <w:t>Ativos Fixos Tangíveis</w:t>
      </w:r>
    </w:p>
    <w:p w:rsidR="00E24099" w:rsidRPr="00F64DBC" w:rsidRDefault="00E24099" w:rsidP="00304037">
      <w:pPr>
        <w:spacing w:line="360" w:lineRule="atLeast"/>
        <w:ind w:left="360"/>
        <w:jc w:val="both"/>
        <w:rPr>
          <w:rFonts w:ascii="Candara" w:hAnsi="Candara"/>
          <w:sz w:val="22"/>
          <w:szCs w:val="22"/>
        </w:rPr>
      </w:pPr>
      <w:r w:rsidRPr="00F64DBC">
        <w:rPr>
          <w:rFonts w:ascii="Candara" w:hAnsi="Candara"/>
          <w:sz w:val="22"/>
          <w:szCs w:val="22"/>
        </w:rPr>
        <w:t>Os ativos fixos tangíveis encontram-se registados ao custo de aquisição, deduzido das correspondentes depreciações.</w:t>
      </w:r>
    </w:p>
    <w:p w:rsidR="007A1351" w:rsidRDefault="00E24099" w:rsidP="00304037">
      <w:pPr>
        <w:spacing w:line="360" w:lineRule="atLeast"/>
        <w:ind w:left="360"/>
        <w:jc w:val="both"/>
        <w:rPr>
          <w:rFonts w:ascii="Candara" w:hAnsi="Candara"/>
          <w:sz w:val="22"/>
          <w:szCs w:val="22"/>
        </w:rPr>
      </w:pPr>
      <w:r w:rsidRPr="00F64DBC">
        <w:rPr>
          <w:rFonts w:ascii="Candara" w:hAnsi="Candara"/>
          <w:sz w:val="22"/>
          <w:szCs w:val="22"/>
        </w:rPr>
        <w:t xml:space="preserve">As depreciações são calculadas, após a data em que os bens estejam disponíveis para serem utilizados, pelo método </w:t>
      </w:r>
      <w:r w:rsidR="002366BB" w:rsidRPr="00F64DBC">
        <w:rPr>
          <w:rFonts w:ascii="Candara" w:hAnsi="Candara"/>
          <w:sz w:val="22"/>
          <w:szCs w:val="22"/>
        </w:rPr>
        <w:t xml:space="preserve">da </w:t>
      </w:r>
      <w:r w:rsidRPr="00F64DBC">
        <w:rPr>
          <w:rFonts w:ascii="Candara" w:hAnsi="Candara"/>
          <w:sz w:val="22"/>
          <w:szCs w:val="22"/>
        </w:rPr>
        <w:t>linha reta, em conformidade com o período de vida útil e</w:t>
      </w:r>
      <w:r w:rsidR="0082011B" w:rsidRPr="00F64DBC">
        <w:rPr>
          <w:rFonts w:ascii="Candara" w:hAnsi="Candara"/>
          <w:sz w:val="22"/>
          <w:szCs w:val="22"/>
        </w:rPr>
        <w:t>stimado para cada grupo de bens</w:t>
      </w:r>
      <w:r w:rsidR="007A1351">
        <w:rPr>
          <w:rFonts w:ascii="Candara" w:hAnsi="Candara"/>
          <w:sz w:val="22"/>
          <w:szCs w:val="22"/>
        </w:rPr>
        <w:t>.</w:t>
      </w:r>
    </w:p>
    <w:p w:rsidR="0062097C" w:rsidRPr="00F64DBC" w:rsidRDefault="0062097C" w:rsidP="00304037">
      <w:pPr>
        <w:spacing w:line="360" w:lineRule="atLeast"/>
        <w:ind w:left="360"/>
        <w:jc w:val="both"/>
        <w:rPr>
          <w:rFonts w:ascii="Candara" w:hAnsi="Candara"/>
          <w:sz w:val="22"/>
          <w:szCs w:val="22"/>
        </w:rPr>
      </w:pPr>
      <w:r w:rsidRPr="00F64DBC">
        <w:rPr>
          <w:rFonts w:ascii="Candara" w:hAnsi="Candara"/>
          <w:sz w:val="22"/>
          <w:szCs w:val="22"/>
        </w:rPr>
        <w:t>As vidas úteis e método de amortização dos vários bens são revistos anualmente. O efeito de alguma alteração a estas estimativas será reconhecido prospectivamente na demonstração dos resultados.</w:t>
      </w:r>
    </w:p>
    <w:p w:rsidR="0062097C" w:rsidRPr="00F64DBC" w:rsidRDefault="0062097C" w:rsidP="00304037">
      <w:pPr>
        <w:spacing w:line="360" w:lineRule="atLeast"/>
        <w:ind w:left="360"/>
        <w:jc w:val="both"/>
        <w:rPr>
          <w:rFonts w:ascii="Candara" w:hAnsi="Candara"/>
          <w:sz w:val="22"/>
          <w:szCs w:val="22"/>
        </w:rPr>
      </w:pPr>
      <w:r w:rsidRPr="00F64DBC">
        <w:rPr>
          <w:rFonts w:ascii="Candara" w:hAnsi="Candara"/>
          <w:sz w:val="22"/>
          <w:szCs w:val="22"/>
        </w:rPr>
        <w:t>As despesas de conservação e reparação que não aumentem a vida útil dos ativos nem resultem em benfeitorias ou melhorias significativas nos elementos dos ativos fixos tangíveis foram registadas como gastos do exercício em que ocorrem.</w:t>
      </w:r>
    </w:p>
    <w:p w:rsidR="00747638" w:rsidRPr="00F64DBC" w:rsidRDefault="00747638" w:rsidP="00304037">
      <w:pPr>
        <w:spacing w:line="360" w:lineRule="atLeast"/>
        <w:ind w:left="360"/>
        <w:jc w:val="both"/>
        <w:rPr>
          <w:rFonts w:ascii="Candara" w:hAnsi="Candara"/>
          <w:sz w:val="22"/>
          <w:szCs w:val="22"/>
        </w:rPr>
      </w:pPr>
      <w:r w:rsidRPr="00F64DBC">
        <w:rPr>
          <w:rFonts w:ascii="Candara" w:hAnsi="Candara"/>
          <w:b/>
          <w:sz w:val="22"/>
          <w:szCs w:val="22"/>
        </w:rPr>
        <w:t>Ativos Intangíveis</w:t>
      </w:r>
    </w:p>
    <w:p w:rsidR="00747638" w:rsidRPr="00F64DBC" w:rsidRDefault="00747638" w:rsidP="00304037">
      <w:pPr>
        <w:spacing w:line="360" w:lineRule="atLeast"/>
        <w:ind w:left="360"/>
        <w:jc w:val="both"/>
        <w:rPr>
          <w:rFonts w:ascii="Candara" w:hAnsi="Candara"/>
          <w:sz w:val="22"/>
          <w:szCs w:val="22"/>
        </w:rPr>
      </w:pPr>
      <w:r w:rsidRPr="00F64DBC">
        <w:rPr>
          <w:rFonts w:ascii="Candara" w:hAnsi="Candara"/>
          <w:sz w:val="22"/>
          <w:szCs w:val="22"/>
        </w:rPr>
        <w:t>Os ativos intangíveis encontram-se registados ao custo de aquisição, deduzido das correspondentes amortizações.</w:t>
      </w:r>
      <w:r w:rsidR="007A1351">
        <w:rPr>
          <w:rFonts w:ascii="Candara" w:hAnsi="Candara"/>
          <w:sz w:val="22"/>
          <w:szCs w:val="22"/>
        </w:rPr>
        <w:t xml:space="preserve"> (encontram-se totalmente amortizados)</w:t>
      </w:r>
    </w:p>
    <w:p w:rsidR="001E0361" w:rsidRPr="00F64DBC" w:rsidRDefault="001E0361" w:rsidP="00304037">
      <w:pPr>
        <w:spacing w:line="360" w:lineRule="atLeast"/>
        <w:ind w:left="360"/>
        <w:jc w:val="both"/>
        <w:rPr>
          <w:rFonts w:ascii="Candara" w:hAnsi="Candara"/>
          <w:b/>
          <w:i/>
          <w:sz w:val="22"/>
          <w:szCs w:val="22"/>
        </w:rPr>
      </w:pPr>
      <w:r w:rsidRPr="00F64DBC">
        <w:rPr>
          <w:rFonts w:ascii="Candara" w:hAnsi="Candara"/>
          <w:b/>
          <w:i/>
          <w:sz w:val="22"/>
          <w:szCs w:val="22"/>
        </w:rPr>
        <w:t xml:space="preserve">Investimentos Financeiros </w:t>
      </w:r>
    </w:p>
    <w:p w:rsidR="001E0361" w:rsidRPr="00F64DBC" w:rsidRDefault="007A1351" w:rsidP="00304037">
      <w:pPr>
        <w:spacing w:line="360" w:lineRule="atLeast"/>
        <w:ind w:left="360"/>
        <w:jc w:val="both"/>
        <w:rPr>
          <w:rFonts w:ascii="Candara" w:hAnsi="Candara"/>
          <w:sz w:val="22"/>
          <w:szCs w:val="22"/>
        </w:rPr>
      </w:pPr>
      <w:r>
        <w:rPr>
          <w:rFonts w:ascii="Candara" w:hAnsi="Candara"/>
          <w:sz w:val="22"/>
          <w:szCs w:val="22"/>
        </w:rPr>
        <w:t>Não  existem investimentos financeiros.</w:t>
      </w:r>
    </w:p>
    <w:p w:rsidR="00747638" w:rsidRPr="00F64DBC" w:rsidRDefault="00747638" w:rsidP="00304037">
      <w:pPr>
        <w:spacing w:line="360" w:lineRule="atLeast"/>
        <w:ind w:left="360"/>
        <w:jc w:val="both"/>
        <w:rPr>
          <w:rFonts w:ascii="Candara" w:hAnsi="Candara"/>
          <w:sz w:val="22"/>
          <w:szCs w:val="22"/>
        </w:rPr>
      </w:pPr>
      <w:r w:rsidRPr="00F64DBC">
        <w:rPr>
          <w:rFonts w:ascii="Candara" w:hAnsi="Candara"/>
          <w:b/>
          <w:sz w:val="22"/>
          <w:szCs w:val="22"/>
        </w:rPr>
        <w:t>Inventários</w:t>
      </w:r>
    </w:p>
    <w:p w:rsidR="00747638" w:rsidRDefault="00747638" w:rsidP="00304037">
      <w:pPr>
        <w:spacing w:line="360" w:lineRule="atLeast"/>
        <w:ind w:left="360"/>
        <w:jc w:val="both"/>
        <w:rPr>
          <w:rFonts w:ascii="Candara" w:hAnsi="Candara"/>
          <w:sz w:val="22"/>
          <w:szCs w:val="22"/>
        </w:rPr>
      </w:pPr>
      <w:r w:rsidRPr="00F64DBC">
        <w:rPr>
          <w:rFonts w:ascii="Candara" w:hAnsi="Candara"/>
          <w:sz w:val="22"/>
          <w:szCs w:val="22"/>
          <w:u w:val="single"/>
        </w:rPr>
        <w:t>Mercadorias e Matérias-Primas</w:t>
      </w:r>
      <w:r w:rsidRPr="00F64DBC">
        <w:rPr>
          <w:rFonts w:ascii="Candara" w:hAnsi="Candara"/>
          <w:sz w:val="22"/>
          <w:szCs w:val="22"/>
        </w:rPr>
        <w:t xml:space="preserve"> - As mercadorias e as matérias-primas, subsidiárias e de consumo encontram-se valorizadas ao custo de aquisição ou ao valor realizável liquido, dos dois o mais baixo. </w:t>
      </w:r>
      <w:r w:rsidR="007A1351">
        <w:rPr>
          <w:rFonts w:ascii="Candara" w:hAnsi="Candara"/>
          <w:sz w:val="22"/>
          <w:szCs w:val="22"/>
        </w:rPr>
        <w:t>A Instituição tem por opção   efetuar as compras  conforme a ementa semanal, não tendo por essa razão grandes quantidades  em inventário.</w:t>
      </w:r>
    </w:p>
    <w:p w:rsidR="00747638" w:rsidRPr="00F64DBC" w:rsidRDefault="00747638" w:rsidP="00304037">
      <w:pPr>
        <w:pStyle w:val="PargrafodaLista"/>
        <w:spacing w:line="360" w:lineRule="auto"/>
        <w:ind w:left="360"/>
        <w:jc w:val="both"/>
        <w:rPr>
          <w:rFonts w:ascii="Candara" w:hAnsi="Candara"/>
          <w:b/>
          <w:sz w:val="22"/>
          <w:szCs w:val="22"/>
        </w:rPr>
      </w:pPr>
      <w:r w:rsidRPr="00F64DBC">
        <w:rPr>
          <w:rFonts w:ascii="Candara" w:hAnsi="Candara"/>
          <w:b/>
          <w:sz w:val="22"/>
          <w:szCs w:val="22"/>
        </w:rPr>
        <w:t>Subsídios do Governo</w:t>
      </w:r>
    </w:p>
    <w:p w:rsidR="00747638" w:rsidRPr="00F64DBC" w:rsidRDefault="00747638" w:rsidP="00304037">
      <w:pPr>
        <w:spacing w:line="360" w:lineRule="atLeast"/>
        <w:ind w:left="360"/>
        <w:jc w:val="both"/>
        <w:rPr>
          <w:rFonts w:ascii="Candara" w:hAnsi="Candara"/>
          <w:sz w:val="22"/>
          <w:szCs w:val="22"/>
        </w:rPr>
      </w:pPr>
      <w:r w:rsidRPr="00F64DBC">
        <w:rPr>
          <w:rFonts w:ascii="Candara" w:hAnsi="Candara"/>
          <w:sz w:val="22"/>
          <w:szCs w:val="22"/>
        </w:rPr>
        <w:t>Os subsídios do governo</w:t>
      </w:r>
      <w:r w:rsidR="007A1351">
        <w:rPr>
          <w:rFonts w:ascii="Candara" w:hAnsi="Candara"/>
          <w:sz w:val="22"/>
          <w:szCs w:val="22"/>
        </w:rPr>
        <w:t xml:space="preserve"> através da Segurança Social, são provenientes do protocolo existente  para as Valências de Lar Internamento e  Apoio Domicil</w:t>
      </w:r>
      <w:r w:rsidR="00A32093">
        <w:rPr>
          <w:rFonts w:ascii="Candara" w:hAnsi="Candara"/>
          <w:sz w:val="22"/>
          <w:szCs w:val="22"/>
        </w:rPr>
        <w:t>iário.</w:t>
      </w:r>
    </w:p>
    <w:p w:rsidR="00A32093" w:rsidRDefault="00A32093" w:rsidP="00304037">
      <w:pPr>
        <w:pStyle w:val="PargrafodaLista"/>
        <w:spacing w:line="360" w:lineRule="auto"/>
        <w:ind w:left="360"/>
        <w:jc w:val="both"/>
        <w:rPr>
          <w:rFonts w:ascii="Candara" w:hAnsi="Candara"/>
          <w:b/>
          <w:i/>
          <w:sz w:val="22"/>
          <w:szCs w:val="22"/>
        </w:rPr>
      </w:pPr>
    </w:p>
    <w:p w:rsidR="00260CBC" w:rsidRPr="00F64DBC" w:rsidRDefault="00260CBC" w:rsidP="00304037">
      <w:pPr>
        <w:pStyle w:val="PargrafodaLista"/>
        <w:spacing w:line="360" w:lineRule="auto"/>
        <w:ind w:left="360"/>
        <w:jc w:val="both"/>
        <w:rPr>
          <w:rFonts w:ascii="Candara" w:hAnsi="Candara"/>
          <w:b/>
          <w:i/>
          <w:sz w:val="22"/>
          <w:szCs w:val="22"/>
        </w:rPr>
      </w:pPr>
      <w:r w:rsidRPr="00F64DBC">
        <w:rPr>
          <w:rFonts w:ascii="Candara" w:hAnsi="Candara"/>
          <w:b/>
          <w:i/>
          <w:sz w:val="22"/>
          <w:szCs w:val="22"/>
        </w:rPr>
        <w:t xml:space="preserve">Rédito </w:t>
      </w:r>
    </w:p>
    <w:p w:rsidR="00260CBC" w:rsidRPr="00F64DBC" w:rsidRDefault="00260CBC" w:rsidP="00304037">
      <w:pPr>
        <w:spacing w:line="360" w:lineRule="atLeast"/>
        <w:ind w:left="360"/>
        <w:jc w:val="both"/>
        <w:rPr>
          <w:rFonts w:ascii="Candara" w:hAnsi="Candara"/>
          <w:sz w:val="22"/>
          <w:szCs w:val="22"/>
        </w:rPr>
      </w:pPr>
      <w:r w:rsidRPr="00F64DBC">
        <w:rPr>
          <w:rFonts w:ascii="Candara" w:hAnsi="Candara"/>
          <w:sz w:val="22"/>
          <w:szCs w:val="22"/>
        </w:rPr>
        <w:t>O rédito é mensurado pelo justo valor da contra</w:t>
      </w:r>
      <w:r w:rsidR="00A32093">
        <w:rPr>
          <w:rFonts w:ascii="Candara" w:hAnsi="Candara"/>
          <w:sz w:val="22"/>
          <w:szCs w:val="22"/>
        </w:rPr>
        <w:t>prestação recebida ou a receber dos Utentes</w:t>
      </w:r>
    </w:p>
    <w:p w:rsidR="0002703F" w:rsidRPr="00F64DBC" w:rsidRDefault="0002703F" w:rsidP="00304037">
      <w:pPr>
        <w:spacing w:line="360" w:lineRule="atLeast"/>
        <w:ind w:left="360"/>
        <w:jc w:val="both"/>
        <w:rPr>
          <w:rFonts w:ascii="Candara" w:hAnsi="Candara"/>
          <w:sz w:val="22"/>
          <w:szCs w:val="22"/>
        </w:rPr>
      </w:pPr>
    </w:p>
    <w:p w:rsidR="006E1F8D" w:rsidRPr="00F64DBC" w:rsidRDefault="006E1F8D" w:rsidP="00304037">
      <w:pPr>
        <w:pStyle w:val="PargrafodaLista"/>
        <w:spacing w:line="360" w:lineRule="auto"/>
        <w:ind w:left="360"/>
        <w:jc w:val="both"/>
        <w:rPr>
          <w:rFonts w:ascii="Candara" w:hAnsi="Candara"/>
          <w:b/>
          <w:i/>
          <w:sz w:val="22"/>
          <w:szCs w:val="22"/>
        </w:rPr>
      </w:pPr>
      <w:r w:rsidRPr="00F64DBC">
        <w:rPr>
          <w:rFonts w:ascii="Candara" w:hAnsi="Candara"/>
          <w:b/>
          <w:i/>
          <w:sz w:val="22"/>
          <w:szCs w:val="22"/>
        </w:rPr>
        <w:t>Instrumentos Financeiros</w:t>
      </w:r>
    </w:p>
    <w:p w:rsidR="00C7656F" w:rsidRPr="00F64DBC" w:rsidRDefault="00C7656F" w:rsidP="00304037">
      <w:pPr>
        <w:pStyle w:val="PargrafodaLista"/>
        <w:spacing w:line="360" w:lineRule="auto"/>
        <w:ind w:left="360"/>
        <w:jc w:val="both"/>
        <w:rPr>
          <w:rFonts w:ascii="Candara" w:hAnsi="Candara"/>
          <w:sz w:val="22"/>
          <w:szCs w:val="22"/>
          <w:u w:val="single"/>
        </w:rPr>
      </w:pPr>
      <w:r w:rsidRPr="00F64DBC">
        <w:rPr>
          <w:rFonts w:ascii="Candara" w:hAnsi="Candara"/>
          <w:sz w:val="22"/>
          <w:szCs w:val="22"/>
          <w:u w:val="single"/>
        </w:rPr>
        <w:t>Caixa e depósitos bancários</w:t>
      </w:r>
    </w:p>
    <w:p w:rsidR="00C7656F" w:rsidRPr="00F64DBC" w:rsidRDefault="00C7656F" w:rsidP="00304037">
      <w:pPr>
        <w:spacing w:line="360" w:lineRule="atLeast"/>
        <w:ind w:left="360"/>
        <w:jc w:val="both"/>
        <w:rPr>
          <w:rFonts w:ascii="Candara" w:hAnsi="Candara"/>
          <w:sz w:val="22"/>
          <w:szCs w:val="22"/>
        </w:rPr>
      </w:pPr>
      <w:r w:rsidRPr="00F64DBC">
        <w:rPr>
          <w:rFonts w:ascii="Candara" w:hAnsi="Candara"/>
          <w:sz w:val="22"/>
          <w:szCs w:val="22"/>
        </w:rPr>
        <w:t>Os montantes incluídos na rubrica caixa e seus equivalentes correspondem aos valores em caixa e depósitos bancários, ambos imediatamente realizáveis.</w:t>
      </w:r>
    </w:p>
    <w:p w:rsidR="00C7656F" w:rsidRPr="00F64DBC" w:rsidRDefault="00C7656F" w:rsidP="00304037">
      <w:pPr>
        <w:pStyle w:val="PargrafodaLista"/>
        <w:spacing w:line="360" w:lineRule="auto"/>
        <w:ind w:left="0"/>
        <w:jc w:val="both"/>
        <w:rPr>
          <w:rFonts w:ascii="Candara" w:hAnsi="Candara"/>
          <w:b/>
          <w:sz w:val="22"/>
          <w:szCs w:val="22"/>
        </w:rPr>
      </w:pPr>
    </w:p>
    <w:p w:rsidR="00F61273" w:rsidRPr="00F64DBC" w:rsidRDefault="00F61273" w:rsidP="00304037">
      <w:pPr>
        <w:pStyle w:val="PargrafodaLista"/>
        <w:spacing w:line="360" w:lineRule="auto"/>
        <w:ind w:left="360"/>
        <w:jc w:val="both"/>
        <w:rPr>
          <w:rFonts w:ascii="Candara" w:hAnsi="Candara"/>
          <w:b/>
          <w:i/>
          <w:sz w:val="22"/>
          <w:szCs w:val="22"/>
        </w:rPr>
      </w:pPr>
      <w:r w:rsidRPr="00F64DBC">
        <w:rPr>
          <w:rFonts w:ascii="Candara" w:hAnsi="Candara"/>
          <w:b/>
          <w:i/>
          <w:sz w:val="22"/>
          <w:szCs w:val="22"/>
        </w:rPr>
        <w:lastRenderedPageBreak/>
        <w:t>Benefícios de empregados</w:t>
      </w:r>
    </w:p>
    <w:p w:rsidR="00A32093" w:rsidRDefault="00C7656F" w:rsidP="00304037">
      <w:pPr>
        <w:spacing w:line="360" w:lineRule="atLeast"/>
        <w:ind w:left="360"/>
        <w:jc w:val="both"/>
        <w:rPr>
          <w:rFonts w:ascii="Candara" w:hAnsi="Candara"/>
          <w:sz w:val="22"/>
          <w:szCs w:val="22"/>
        </w:rPr>
      </w:pPr>
      <w:r w:rsidRPr="00F64DBC">
        <w:rPr>
          <w:rFonts w:ascii="Candara" w:hAnsi="Candara"/>
          <w:sz w:val="22"/>
          <w:szCs w:val="22"/>
        </w:rPr>
        <w:t xml:space="preserve">Os benefícios de curto prazo dos empregados incluem salários, ordenados, retribuições eventuais por trabalho extraordinário, </w:t>
      </w:r>
      <w:r w:rsidR="00A32093">
        <w:rPr>
          <w:rFonts w:ascii="Candara" w:hAnsi="Candara"/>
          <w:sz w:val="22"/>
          <w:szCs w:val="22"/>
        </w:rPr>
        <w:t>subsidio por turno</w:t>
      </w:r>
      <w:r w:rsidRPr="00F64DBC">
        <w:rPr>
          <w:rFonts w:ascii="Candara" w:hAnsi="Candara"/>
          <w:sz w:val="22"/>
          <w:szCs w:val="22"/>
        </w:rPr>
        <w:t xml:space="preserve">, subsídio de férias e de </w:t>
      </w:r>
      <w:r w:rsidR="00A32093">
        <w:rPr>
          <w:rFonts w:ascii="Candara" w:hAnsi="Candara"/>
          <w:sz w:val="22"/>
          <w:szCs w:val="22"/>
        </w:rPr>
        <w:t>N</w:t>
      </w:r>
      <w:r w:rsidRPr="00F64DBC">
        <w:rPr>
          <w:rFonts w:ascii="Candara" w:hAnsi="Candara"/>
          <w:sz w:val="22"/>
          <w:szCs w:val="22"/>
        </w:rPr>
        <w:t xml:space="preserve">atal e quaisquer outras retribuições adicionais decididas pontualmente </w:t>
      </w:r>
      <w:r w:rsidR="00A32093">
        <w:rPr>
          <w:rFonts w:ascii="Candara" w:hAnsi="Candara"/>
          <w:sz w:val="22"/>
          <w:szCs w:val="22"/>
        </w:rPr>
        <w:t>pela Direção.</w:t>
      </w:r>
    </w:p>
    <w:p w:rsidR="00C7656F" w:rsidRPr="00F64DBC" w:rsidRDefault="00C7656F" w:rsidP="00304037">
      <w:pPr>
        <w:spacing w:line="360" w:lineRule="atLeast"/>
        <w:ind w:left="360"/>
        <w:jc w:val="both"/>
        <w:rPr>
          <w:rFonts w:ascii="Candara" w:hAnsi="Candara"/>
          <w:sz w:val="22"/>
          <w:szCs w:val="22"/>
        </w:rPr>
      </w:pPr>
      <w:r w:rsidRPr="00F64DBC">
        <w:rPr>
          <w:rFonts w:ascii="Candara" w:hAnsi="Candara"/>
          <w:sz w:val="22"/>
          <w:szCs w:val="22"/>
        </w:rPr>
        <w:t>As obrigações decorrentes dos benefícios de curto prazo são reconhecidas como gastos no período em que os serviços são prestados, numa base não descontada por contrapartida do reconhecimento de um passivo que se extingue com o pagamento respetivo.</w:t>
      </w:r>
    </w:p>
    <w:p w:rsidR="005F2F4F" w:rsidRPr="00F64DBC" w:rsidRDefault="00C7656F" w:rsidP="00304037">
      <w:pPr>
        <w:spacing w:line="360" w:lineRule="atLeast"/>
        <w:ind w:left="360"/>
        <w:jc w:val="both"/>
        <w:rPr>
          <w:rFonts w:ascii="Candara" w:hAnsi="Candara"/>
          <w:sz w:val="22"/>
          <w:szCs w:val="22"/>
        </w:rPr>
      </w:pPr>
      <w:r w:rsidRPr="00F64DBC">
        <w:rPr>
          <w:rFonts w:ascii="Candara" w:hAnsi="Candara"/>
          <w:sz w:val="22"/>
          <w:szCs w:val="22"/>
        </w:rPr>
        <w:t>De acordo com a legislação laboral aplicável, o direito a férias e subsídios de férias relativo ao período, por este coincidir com o ano civil, vence-se em 31 de Dezembro de cada ano, sendo somente pago durante o período seguinte</w:t>
      </w:r>
      <w:r w:rsidR="00A32093">
        <w:rPr>
          <w:rFonts w:ascii="Candara" w:hAnsi="Candara"/>
          <w:sz w:val="22"/>
          <w:szCs w:val="22"/>
        </w:rPr>
        <w:t>.</w:t>
      </w:r>
      <w:r w:rsidRPr="00F64DBC">
        <w:rPr>
          <w:rFonts w:ascii="Candara" w:hAnsi="Candara"/>
          <w:sz w:val="22"/>
          <w:szCs w:val="22"/>
        </w:rPr>
        <w:t xml:space="preserve"> </w:t>
      </w:r>
    </w:p>
    <w:p w:rsidR="00A32093" w:rsidRDefault="00A32093" w:rsidP="00304037">
      <w:pPr>
        <w:pStyle w:val="PargrafodaLista"/>
        <w:spacing w:line="360" w:lineRule="auto"/>
        <w:ind w:left="360"/>
        <w:jc w:val="both"/>
        <w:rPr>
          <w:rFonts w:ascii="Candara" w:hAnsi="Candara"/>
          <w:b/>
          <w:i/>
          <w:sz w:val="22"/>
          <w:szCs w:val="22"/>
        </w:rPr>
      </w:pPr>
    </w:p>
    <w:p w:rsidR="00747638" w:rsidRPr="00F64DBC" w:rsidRDefault="00747638" w:rsidP="00304037">
      <w:pPr>
        <w:pStyle w:val="PargrafodaLista"/>
        <w:spacing w:line="360" w:lineRule="auto"/>
        <w:ind w:left="360"/>
        <w:jc w:val="both"/>
        <w:rPr>
          <w:rFonts w:ascii="Candara" w:hAnsi="Candara"/>
          <w:b/>
          <w:i/>
          <w:sz w:val="22"/>
          <w:szCs w:val="22"/>
        </w:rPr>
      </w:pPr>
      <w:r w:rsidRPr="00F64DBC">
        <w:rPr>
          <w:rFonts w:ascii="Candara" w:hAnsi="Candara"/>
          <w:b/>
          <w:i/>
          <w:sz w:val="22"/>
          <w:szCs w:val="22"/>
        </w:rPr>
        <w:t>Eventos subsequentes</w:t>
      </w:r>
    </w:p>
    <w:p w:rsidR="00747638" w:rsidRPr="00F64DBC" w:rsidRDefault="00747638" w:rsidP="00304037">
      <w:pPr>
        <w:spacing w:line="360" w:lineRule="atLeast"/>
        <w:ind w:left="360"/>
        <w:jc w:val="both"/>
        <w:rPr>
          <w:rFonts w:ascii="Candara" w:hAnsi="Candara"/>
          <w:sz w:val="22"/>
          <w:szCs w:val="22"/>
        </w:rPr>
      </w:pPr>
      <w:r w:rsidRPr="00F64DBC">
        <w:rPr>
          <w:rFonts w:ascii="Candara" w:hAnsi="Candara"/>
          <w:sz w:val="22"/>
          <w:szCs w:val="22"/>
        </w:rPr>
        <w:t>Não existem eventos subsequentes suscetíveis de divulgação.</w:t>
      </w:r>
    </w:p>
    <w:p w:rsidR="00023124" w:rsidRPr="00D36DC3" w:rsidRDefault="00023124" w:rsidP="00304037">
      <w:pPr>
        <w:numPr>
          <w:ilvl w:val="0"/>
          <w:numId w:val="4"/>
        </w:numPr>
        <w:spacing w:line="360" w:lineRule="atLeast"/>
        <w:jc w:val="both"/>
        <w:rPr>
          <w:rFonts w:ascii="Candara" w:hAnsi="Candara"/>
          <w:b/>
          <w:i/>
          <w:sz w:val="22"/>
          <w:szCs w:val="22"/>
        </w:rPr>
      </w:pPr>
      <w:r w:rsidRPr="00D36DC3">
        <w:rPr>
          <w:rFonts w:ascii="Candara" w:hAnsi="Candara"/>
          <w:b/>
          <w:i/>
          <w:sz w:val="22"/>
          <w:szCs w:val="22"/>
        </w:rPr>
        <w:t>O</w:t>
      </w:r>
      <w:r w:rsidR="0082011B" w:rsidRPr="00D36DC3">
        <w:rPr>
          <w:rFonts w:ascii="Candara" w:hAnsi="Candara"/>
          <w:b/>
          <w:i/>
          <w:sz w:val="22"/>
          <w:szCs w:val="22"/>
        </w:rPr>
        <w:t>utras políticas contabilísticas</w:t>
      </w:r>
      <w:r w:rsidRPr="00D36DC3">
        <w:rPr>
          <w:rFonts w:ascii="Candara" w:hAnsi="Candara"/>
          <w:b/>
          <w:i/>
          <w:sz w:val="22"/>
          <w:szCs w:val="22"/>
        </w:rPr>
        <w:t>:</w:t>
      </w:r>
    </w:p>
    <w:p w:rsidR="00023124" w:rsidRPr="00D36DC3" w:rsidRDefault="00023124" w:rsidP="00304037">
      <w:pPr>
        <w:spacing w:line="360" w:lineRule="atLeast"/>
        <w:jc w:val="both"/>
        <w:rPr>
          <w:rFonts w:ascii="Candara" w:hAnsi="Candara"/>
          <w:sz w:val="22"/>
          <w:szCs w:val="22"/>
        </w:rPr>
      </w:pPr>
      <w:r w:rsidRPr="00D36DC3">
        <w:rPr>
          <w:rFonts w:ascii="Candara" w:hAnsi="Candara"/>
          <w:sz w:val="22"/>
          <w:szCs w:val="22"/>
        </w:rPr>
        <w:t xml:space="preserve">As políticas contabilísticas apresentadas foram aplicadas de forma </w:t>
      </w:r>
      <w:r w:rsidR="00443BF0" w:rsidRPr="00D36DC3">
        <w:rPr>
          <w:rFonts w:ascii="Candara" w:hAnsi="Candara"/>
          <w:sz w:val="22"/>
          <w:szCs w:val="22"/>
        </w:rPr>
        <w:t>consistente</w:t>
      </w:r>
      <w:r w:rsidRPr="00D36DC3">
        <w:rPr>
          <w:rFonts w:ascii="Candara" w:hAnsi="Candara"/>
          <w:sz w:val="22"/>
          <w:szCs w:val="22"/>
        </w:rPr>
        <w:t xml:space="preserve"> com o previsto na NCRF</w:t>
      </w:r>
      <w:r w:rsidR="008D07ED" w:rsidRPr="00D36DC3">
        <w:rPr>
          <w:rFonts w:ascii="Candara" w:hAnsi="Candara"/>
          <w:sz w:val="22"/>
          <w:szCs w:val="22"/>
        </w:rPr>
        <w:t>-E</w:t>
      </w:r>
      <w:r w:rsidR="0002703F" w:rsidRPr="00D36DC3">
        <w:rPr>
          <w:rFonts w:ascii="Candara" w:hAnsi="Candara"/>
          <w:sz w:val="22"/>
          <w:szCs w:val="22"/>
        </w:rPr>
        <w:t>SNL</w:t>
      </w:r>
      <w:r w:rsidRPr="00D36DC3">
        <w:rPr>
          <w:rFonts w:ascii="Candara" w:hAnsi="Candara"/>
          <w:sz w:val="22"/>
          <w:szCs w:val="22"/>
        </w:rPr>
        <w:t xml:space="preserve">. Em cada </w:t>
      </w:r>
      <w:r w:rsidR="0002703F" w:rsidRPr="00D36DC3">
        <w:rPr>
          <w:rFonts w:ascii="Candara" w:hAnsi="Candara"/>
          <w:sz w:val="22"/>
          <w:szCs w:val="22"/>
        </w:rPr>
        <w:t xml:space="preserve">data de balanço </w:t>
      </w:r>
      <w:r w:rsidRPr="00D36DC3">
        <w:rPr>
          <w:rFonts w:ascii="Candara" w:hAnsi="Candara"/>
          <w:sz w:val="22"/>
          <w:szCs w:val="22"/>
        </w:rPr>
        <w:t>é efetuada uma avaliação da existência de evidência objetiva de imparidade</w:t>
      </w:r>
      <w:r w:rsidR="00443BF0" w:rsidRPr="00D36DC3">
        <w:rPr>
          <w:rFonts w:ascii="Candara" w:hAnsi="Candara"/>
          <w:sz w:val="22"/>
          <w:szCs w:val="22"/>
        </w:rPr>
        <w:t>s</w:t>
      </w:r>
      <w:r w:rsidRPr="00D36DC3">
        <w:rPr>
          <w:rFonts w:ascii="Candara" w:hAnsi="Candara"/>
          <w:sz w:val="22"/>
          <w:szCs w:val="22"/>
        </w:rPr>
        <w:t>, nomeadamente da qual resulte um impacto adverso nos fluxos de caixa futuros estimados</w:t>
      </w:r>
      <w:r w:rsidR="0002703F" w:rsidRPr="00D36DC3">
        <w:rPr>
          <w:rFonts w:ascii="Candara" w:hAnsi="Candara"/>
          <w:sz w:val="22"/>
          <w:szCs w:val="22"/>
        </w:rPr>
        <w:t>,</w:t>
      </w:r>
      <w:r w:rsidRPr="00D36DC3">
        <w:rPr>
          <w:rFonts w:ascii="Candara" w:hAnsi="Candara"/>
          <w:sz w:val="22"/>
          <w:szCs w:val="22"/>
        </w:rPr>
        <w:t xml:space="preserve"> sempre que possa ser medido de forma fiável.</w:t>
      </w:r>
    </w:p>
    <w:p w:rsidR="00023124" w:rsidRPr="00D36DC3" w:rsidRDefault="00023124" w:rsidP="00304037">
      <w:pPr>
        <w:spacing w:line="360" w:lineRule="atLeast"/>
        <w:jc w:val="both"/>
        <w:rPr>
          <w:rFonts w:ascii="Candara" w:hAnsi="Candara"/>
          <w:sz w:val="22"/>
          <w:szCs w:val="22"/>
        </w:rPr>
      </w:pPr>
    </w:p>
    <w:p w:rsidR="00C05D21" w:rsidRPr="00D36DC3" w:rsidRDefault="008D07ED" w:rsidP="00304037">
      <w:pPr>
        <w:numPr>
          <w:ilvl w:val="0"/>
          <w:numId w:val="4"/>
        </w:numPr>
        <w:spacing w:line="360" w:lineRule="atLeast"/>
        <w:jc w:val="both"/>
        <w:rPr>
          <w:rFonts w:ascii="Candara" w:hAnsi="Candara"/>
          <w:b/>
          <w:i/>
          <w:sz w:val="22"/>
          <w:szCs w:val="22"/>
        </w:rPr>
      </w:pPr>
      <w:r w:rsidRPr="00D36DC3">
        <w:rPr>
          <w:rFonts w:ascii="Candara" w:hAnsi="Candara"/>
          <w:b/>
          <w:i/>
          <w:sz w:val="22"/>
          <w:szCs w:val="22"/>
        </w:rPr>
        <w:t>Principais pressupostos relativos ao futuro</w:t>
      </w:r>
      <w:r w:rsidR="00E02F14" w:rsidRPr="00D36DC3">
        <w:rPr>
          <w:rFonts w:ascii="Candara" w:hAnsi="Candara"/>
          <w:b/>
          <w:i/>
          <w:sz w:val="22"/>
          <w:szCs w:val="22"/>
        </w:rPr>
        <w:t>:</w:t>
      </w:r>
    </w:p>
    <w:p w:rsidR="008D07ED" w:rsidRPr="00D36DC3" w:rsidRDefault="008D07ED" w:rsidP="00304037">
      <w:pPr>
        <w:spacing w:line="360" w:lineRule="atLeast"/>
        <w:jc w:val="both"/>
        <w:rPr>
          <w:rFonts w:ascii="Candara" w:hAnsi="Candara"/>
          <w:sz w:val="22"/>
          <w:szCs w:val="22"/>
        </w:rPr>
      </w:pPr>
      <w:r w:rsidRPr="00D36DC3">
        <w:rPr>
          <w:rFonts w:ascii="Candara" w:hAnsi="Candara"/>
          <w:sz w:val="22"/>
          <w:szCs w:val="22"/>
        </w:rPr>
        <w:t xml:space="preserve">As demonstrações financeiras foram preparadas numa perspetiva de continuidade não tendo a </w:t>
      </w:r>
      <w:r w:rsidR="00375D55" w:rsidRPr="00D36DC3">
        <w:rPr>
          <w:rFonts w:ascii="Candara" w:hAnsi="Candara"/>
          <w:sz w:val="22"/>
          <w:szCs w:val="22"/>
        </w:rPr>
        <w:t>e</w:t>
      </w:r>
      <w:r w:rsidR="0002703F" w:rsidRPr="00D36DC3">
        <w:rPr>
          <w:rFonts w:ascii="Candara" w:hAnsi="Candara"/>
          <w:sz w:val="22"/>
          <w:szCs w:val="22"/>
        </w:rPr>
        <w:t>ntidade</w:t>
      </w:r>
      <w:r w:rsidR="00375D55" w:rsidRPr="00D36DC3">
        <w:rPr>
          <w:rFonts w:ascii="Candara" w:hAnsi="Candara"/>
          <w:sz w:val="22"/>
          <w:szCs w:val="22"/>
        </w:rPr>
        <w:t xml:space="preserve"> </w:t>
      </w:r>
      <w:r w:rsidRPr="00D36DC3">
        <w:rPr>
          <w:rFonts w:ascii="Candara" w:hAnsi="Candara"/>
          <w:sz w:val="22"/>
          <w:szCs w:val="22"/>
        </w:rPr>
        <w:t>intenção nem a necessidade de liquidar ou reduzir drasticamente o nível das suas operações.</w:t>
      </w:r>
    </w:p>
    <w:p w:rsidR="00B908AA" w:rsidRPr="00D36DC3" w:rsidRDefault="00B908AA" w:rsidP="00304037">
      <w:pPr>
        <w:spacing w:line="360" w:lineRule="atLeast"/>
        <w:jc w:val="both"/>
        <w:rPr>
          <w:rFonts w:ascii="Candara" w:hAnsi="Candara"/>
          <w:sz w:val="22"/>
          <w:szCs w:val="22"/>
        </w:rPr>
      </w:pPr>
    </w:p>
    <w:p w:rsidR="00023124" w:rsidRPr="00D36DC3" w:rsidRDefault="00BC0924" w:rsidP="00304037">
      <w:pPr>
        <w:numPr>
          <w:ilvl w:val="0"/>
          <w:numId w:val="4"/>
        </w:numPr>
        <w:spacing w:line="360" w:lineRule="atLeast"/>
        <w:jc w:val="both"/>
        <w:rPr>
          <w:rFonts w:ascii="Candara" w:hAnsi="Candara"/>
          <w:b/>
          <w:i/>
          <w:sz w:val="22"/>
          <w:szCs w:val="22"/>
        </w:rPr>
      </w:pPr>
      <w:r w:rsidRPr="00D36DC3">
        <w:rPr>
          <w:rFonts w:ascii="Candara" w:hAnsi="Candara"/>
          <w:b/>
          <w:i/>
          <w:sz w:val="22"/>
          <w:szCs w:val="22"/>
        </w:rPr>
        <w:t>Principais font</w:t>
      </w:r>
      <w:r w:rsidR="00023124" w:rsidRPr="00D36DC3">
        <w:rPr>
          <w:rFonts w:ascii="Candara" w:hAnsi="Candara"/>
          <w:b/>
          <w:i/>
          <w:sz w:val="22"/>
          <w:szCs w:val="22"/>
        </w:rPr>
        <w:t>es de incerteza das estimativas:</w:t>
      </w:r>
    </w:p>
    <w:p w:rsidR="00BC0924" w:rsidRPr="00D36DC3" w:rsidRDefault="00BC0924" w:rsidP="00304037">
      <w:pPr>
        <w:spacing w:line="360" w:lineRule="atLeast"/>
        <w:jc w:val="both"/>
        <w:rPr>
          <w:rFonts w:ascii="Candara" w:hAnsi="Candara"/>
          <w:sz w:val="22"/>
          <w:szCs w:val="22"/>
        </w:rPr>
      </w:pPr>
      <w:r w:rsidRPr="00D36DC3">
        <w:rPr>
          <w:rFonts w:ascii="Candara" w:hAnsi="Candara"/>
          <w:sz w:val="22"/>
          <w:szCs w:val="22"/>
        </w:rPr>
        <w:t xml:space="preserve">Não existem situações que afetem ou coloquem algum grau de incerteza materialmente relevante nas estimativas previstas nas </w:t>
      </w:r>
      <w:r w:rsidR="000C6024" w:rsidRPr="00D36DC3">
        <w:rPr>
          <w:rFonts w:ascii="Candara" w:hAnsi="Candara"/>
          <w:sz w:val="22"/>
          <w:szCs w:val="22"/>
        </w:rPr>
        <w:t>demonstrações financeiras anexas</w:t>
      </w:r>
      <w:r w:rsidRPr="00D36DC3">
        <w:rPr>
          <w:rFonts w:ascii="Candara" w:hAnsi="Candara"/>
          <w:sz w:val="22"/>
          <w:szCs w:val="22"/>
        </w:rPr>
        <w:t>.</w:t>
      </w:r>
    </w:p>
    <w:p w:rsidR="00BC0924" w:rsidRDefault="00BC0924" w:rsidP="00304037">
      <w:pPr>
        <w:spacing w:line="360" w:lineRule="atLeast"/>
        <w:jc w:val="both"/>
        <w:rPr>
          <w:rFonts w:ascii="Candara" w:hAnsi="Candara"/>
          <w:sz w:val="22"/>
          <w:szCs w:val="22"/>
        </w:rPr>
      </w:pPr>
    </w:p>
    <w:p w:rsidR="00B908AA" w:rsidRDefault="00B908AA" w:rsidP="00304037">
      <w:pPr>
        <w:spacing w:line="360" w:lineRule="atLeast"/>
        <w:jc w:val="both"/>
        <w:rPr>
          <w:rFonts w:ascii="Candara" w:hAnsi="Candara"/>
          <w:b/>
          <w:sz w:val="22"/>
          <w:szCs w:val="22"/>
        </w:rPr>
      </w:pPr>
    </w:p>
    <w:p w:rsidR="00731651" w:rsidRDefault="00731651" w:rsidP="00304037">
      <w:pPr>
        <w:spacing w:line="360" w:lineRule="atLeast"/>
        <w:jc w:val="both"/>
        <w:rPr>
          <w:rFonts w:ascii="Candara" w:hAnsi="Candara"/>
          <w:b/>
          <w:i/>
          <w:sz w:val="22"/>
          <w:szCs w:val="22"/>
        </w:rPr>
      </w:pPr>
      <w:r w:rsidRPr="00731651">
        <w:rPr>
          <w:rFonts w:ascii="Candara" w:hAnsi="Candara"/>
          <w:b/>
          <w:i/>
          <w:sz w:val="22"/>
          <w:szCs w:val="22"/>
        </w:rPr>
        <w:t>3.2 — Alterações nas políticas contabilísticas: indicação</w:t>
      </w:r>
      <w:r>
        <w:rPr>
          <w:rFonts w:ascii="Candara" w:hAnsi="Candara"/>
          <w:b/>
          <w:i/>
          <w:sz w:val="22"/>
          <w:szCs w:val="22"/>
        </w:rPr>
        <w:t xml:space="preserve"> </w:t>
      </w:r>
      <w:r w:rsidRPr="00731651">
        <w:rPr>
          <w:rFonts w:ascii="Candara" w:hAnsi="Candara"/>
          <w:b/>
          <w:i/>
          <w:sz w:val="22"/>
          <w:szCs w:val="22"/>
        </w:rPr>
        <w:t>da natureza e efeitos da alteração na política contabilística</w:t>
      </w:r>
      <w:r>
        <w:rPr>
          <w:rFonts w:ascii="Candara" w:hAnsi="Candara"/>
          <w:b/>
          <w:i/>
          <w:sz w:val="22"/>
          <w:szCs w:val="22"/>
        </w:rPr>
        <w:t xml:space="preserve"> </w:t>
      </w:r>
      <w:r w:rsidRPr="00731651">
        <w:rPr>
          <w:rFonts w:ascii="Candara" w:hAnsi="Candara"/>
          <w:b/>
          <w:i/>
          <w:sz w:val="22"/>
          <w:szCs w:val="22"/>
        </w:rPr>
        <w:t>e, no caso de aplicação voluntária, das razões</w:t>
      </w:r>
      <w:r>
        <w:rPr>
          <w:rFonts w:ascii="Candara" w:hAnsi="Candara"/>
          <w:b/>
          <w:i/>
          <w:sz w:val="22"/>
          <w:szCs w:val="22"/>
        </w:rPr>
        <w:t xml:space="preserve"> </w:t>
      </w:r>
      <w:r w:rsidRPr="00731651">
        <w:rPr>
          <w:rFonts w:ascii="Candara" w:hAnsi="Candara"/>
          <w:b/>
          <w:i/>
          <w:sz w:val="22"/>
          <w:szCs w:val="22"/>
        </w:rPr>
        <w:t>pelas quais a aplicação da nova política contabilística</w:t>
      </w:r>
      <w:r>
        <w:rPr>
          <w:rFonts w:ascii="Candara" w:hAnsi="Candara"/>
          <w:b/>
          <w:i/>
          <w:sz w:val="22"/>
          <w:szCs w:val="22"/>
        </w:rPr>
        <w:t xml:space="preserve"> </w:t>
      </w:r>
      <w:r w:rsidRPr="00731651">
        <w:rPr>
          <w:rFonts w:ascii="Candara" w:hAnsi="Candara"/>
          <w:b/>
          <w:i/>
          <w:sz w:val="22"/>
          <w:szCs w:val="22"/>
        </w:rPr>
        <w:t>proporciona informação fiável e mais relevante.</w:t>
      </w:r>
    </w:p>
    <w:p w:rsidR="00731651" w:rsidRPr="00731651" w:rsidRDefault="00731651" w:rsidP="00304037">
      <w:pPr>
        <w:spacing w:line="360" w:lineRule="atLeast"/>
        <w:jc w:val="both"/>
        <w:rPr>
          <w:rFonts w:ascii="Candara" w:hAnsi="Candara"/>
          <w:sz w:val="22"/>
          <w:szCs w:val="22"/>
        </w:rPr>
      </w:pPr>
      <w:r w:rsidRPr="00731651">
        <w:rPr>
          <w:rFonts w:ascii="Candara" w:hAnsi="Candara"/>
          <w:sz w:val="22"/>
          <w:szCs w:val="22"/>
        </w:rPr>
        <w:t>As políticas contabilísticas não foram alteradas.</w:t>
      </w:r>
    </w:p>
    <w:p w:rsidR="00731651" w:rsidRDefault="00731651" w:rsidP="00304037">
      <w:pPr>
        <w:spacing w:line="360" w:lineRule="atLeast"/>
        <w:jc w:val="both"/>
        <w:rPr>
          <w:rFonts w:ascii="Candara" w:hAnsi="Candara"/>
          <w:b/>
          <w:i/>
          <w:sz w:val="22"/>
          <w:szCs w:val="22"/>
        </w:rPr>
      </w:pPr>
    </w:p>
    <w:p w:rsidR="00731651" w:rsidRPr="00731651" w:rsidRDefault="00731651" w:rsidP="00304037">
      <w:pPr>
        <w:spacing w:line="360" w:lineRule="atLeast"/>
        <w:jc w:val="both"/>
        <w:rPr>
          <w:rFonts w:ascii="Candara" w:hAnsi="Candara"/>
          <w:b/>
          <w:i/>
          <w:sz w:val="22"/>
          <w:szCs w:val="22"/>
        </w:rPr>
      </w:pPr>
      <w:r w:rsidRPr="00731651">
        <w:rPr>
          <w:rFonts w:ascii="Candara" w:hAnsi="Candara"/>
          <w:b/>
          <w:i/>
          <w:sz w:val="22"/>
          <w:szCs w:val="22"/>
        </w:rPr>
        <w:t>3.3 — Alterações nas estimativas contabilísticas: indicação</w:t>
      </w:r>
      <w:r>
        <w:rPr>
          <w:rFonts w:ascii="Candara" w:hAnsi="Candara"/>
          <w:b/>
          <w:i/>
          <w:sz w:val="22"/>
          <w:szCs w:val="22"/>
        </w:rPr>
        <w:t xml:space="preserve"> </w:t>
      </w:r>
      <w:r w:rsidRPr="00731651">
        <w:rPr>
          <w:rFonts w:ascii="Candara" w:hAnsi="Candara"/>
          <w:b/>
          <w:i/>
          <w:sz w:val="22"/>
          <w:szCs w:val="22"/>
        </w:rPr>
        <w:t>do efeito no período corrente e em períodos futuros.</w:t>
      </w:r>
    </w:p>
    <w:p w:rsidR="00731651" w:rsidRPr="00731651" w:rsidRDefault="00731651" w:rsidP="00304037">
      <w:pPr>
        <w:spacing w:line="360" w:lineRule="atLeast"/>
        <w:jc w:val="both"/>
        <w:rPr>
          <w:rFonts w:ascii="Candara" w:hAnsi="Candara"/>
          <w:sz w:val="22"/>
          <w:szCs w:val="22"/>
        </w:rPr>
      </w:pPr>
      <w:r w:rsidRPr="00731651">
        <w:rPr>
          <w:rFonts w:ascii="Candara" w:hAnsi="Candara"/>
          <w:sz w:val="22"/>
          <w:szCs w:val="22"/>
        </w:rPr>
        <w:t xml:space="preserve">As </w:t>
      </w:r>
      <w:r w:rsidR="002620AE">
        <w:rPr>
          <w:rFonts w:ascii="Candara" w:hAnsi="Candara"/>
          <w:sz w:val="22"/>
          <w:szCs w:val="22"/>
        </w:rPr>
        <w:t xml:space="preserve">estimativas </w:t>
      </w:r>
      <w:r w:rsidRPr="00731651">
        <w:rPr>
          <w:rFonts w:ascii="Candara" w:hAnsi="Candara"/>
          <w:sz w:val="22"/>
          <w:szCs w:val="22"/>
        </w:rPr>
        <w:t>contabilísticas não foram alteradas.</w:t>
      </w:r>
    </w:p>
    <w:p w:rsidR="00731651" w:rsidRDefault="00731651" w:rsidP="00304037">
      <w:pPr>
        <w:spacing w:line="360" w:lineRule="atLeast"/>
        <w:jc w:val="both"/>
        <w:rPr>
          <w:rFonts w:ascii="Candara" w:hAnsi="Candara"/>
          <w:b/>
          <w:i/>
          <w:sz w:val="22"/>
          <w:szCs w:val="22"/>
        </w:rPr>
      </w:pPr>
    </w:p>
    <w:p w:rsidR="00731651" w:rsidRDefault="00731651" w:rsidP="00304037">
      <w:pPr>
        <w:spacing w:line="360" w:lineRule="atLeast"/>
        <w:jc w:val="both"/>
        <w:rPr>
          <w:rFonts w:ascii="Candara" w:hAnsi="Candara"/>
          <w:b/>
          <w:i/>
          <w:sz w:val="22"/>
          <w:szCs w:val="22"/>
        </w:rPr>
      </w:pPr>
    </w:p>
    <w:p w:rsidR="00731651" w:rsidRPr="00731651" w:rsidRDefault="00731651" w:rsidP="00304037">
      <w:pPr>
        <w:spacing w:line="360" w:lineRule="atLeast"/>
        <w:jc w:val="both"/>
        <w:rPr>
          <w:rFonts w:ascii="Candara" w:hAnsi="Candara"/>
          <w:b/>
          <w:i/>
          <w:sz w:val="22"/>
          <w:szCs w:val="22"/>
        </w:rPr>
      </w:pPr>
      <w:r w:rsidRPr="00731651">
        <w:rPr>
          <w:rFonts w:ascii="Candara" w:hAnsi="Candara"/>
          <w:b/>
          <w:i/>
          <w:sz w:val="22"/>
          <w:szCs w:val="22"/>
        </w:rPr>
        <w:t>3.4 — Correção de erros de períodos anteriores: indicação</w:t>
      </w:r>
      <w:r>
        <w:rPr>
          <w:rFonts w:ascii="Candara" w:hAnsi="Candara"/>
          <w:b/>
          <w:i/>
          <w:sz w:val="22"/>
          <w:szCs w:val="22"/>
        </w:rPr>
        <w:t xml:space="preserve"> </w:t>
      </w:r>
      <w:r w:rsidRPr="00731651">
        <w:rPr>
          <w:rFonts w:ascii="Candara" w:hAnsi="Candara"/>
          <w:b/>
          <w:i/>
          <w:sz w:val="22"/>
          <w:szCs w:val="22"/>
        </w:rPr>
        <w:t>da natureza do erro material e dos seus impactos</w:t>
      </w:r>
      <w:r>
        <w:rPr>
          <w:rFonts w:ascii="Candara" w:hAnsi="Candara"/>
          <w:b/>
          <w:i/>
          <w:sz w:val="22"/>
          <w:szCs w:val="22"/>
        </w:rPr>
        <w:t xml:space="preserve"> </w:t>
      </w:r>
      <w:r w:rsidRPr="00731651">
        <w:rPr>
          <w:rFonts w:ascii="Candara" w:hAnsi="Candara"/>
          <w:b/>
          <w:i/>
          <w:sz w:val="22"/>
          <w:szCs w:val="22"/>
        </w:rPr>
        <w:t>nas demonstrações financeiras do período.</w:t>
      </w:r>
    </w:p>
    <w:p w:rsidR="00A32093" w:rsidRDefault="00731651" w:rsidP="00304037">
      <w:pPr>
        <w:spacing w:line="360" w:lineRule="atLeast"/>
        <w:jc w:val="both"/>
        <w:rPr>
          <w:rFonts w:ascii="Candara" w:hAnsi="Candara"/>
          <w:sz w:val="22"/>
          <w:szCs w:val="22"/>
        </w:rPr>
      </w:pPr>
      <w:r w:rsidRPr="00731651">
        <w:rPr>
          <w:rFonts w:ascii="Candara" w:hAnsi="Candara"/>
          <w:sz w:val="22"/>
          <w:szCs w:val="22"/>
        </w:rPr>
        <w:lastRenderedPageBreak/>
        <w:t xml:space="preserve">Não foram detetados erros relativamente aos períodos anteriores, </w:t>
      </w:r>
    </w:p>
    <w:p w:rsidR="00731651" w:rsidRPr="00731651" w:rsidRDefault="00731651" w:rsidP="00304037">
      <w:pPr>
        <w:spacing w:line="360" w:lineRule="atLeast"/>
        <w:jc w:val="both"/>
        <w:rPr>
          <w:rFonts w:ascii="Candara" w:hAnsi="Candara"/>
          <w:sz w:val="22"/>
          <w:szCs w:val="22"/>
        </w:rPr>
      </w:pPr>
      <w:r w:rsidRPr="00731651">
        <w:rPr>
          <w:rFonts w:ascii="Candara" w:hAnsi="Candara"/>
          <w:sz w:val="22"/>
          <w:szCs w:val="22"/>
        </w:rPr>
        <w:t>de acordo com o parágrafo 6 da NCRF-ESNL.</w:t>
      </w:r>
    </w:p>
    <w:p w:rsidR="00E00DEA" w:rsidRDefault="00E00DEA" w:rsidP="00304037">
      <w:pPr>
        <w:spacing w:line="360" w:lineRule="atLeast"/>
        <w:jc w:val="both"/>
        <w:rPr>
          <w:rFonts w:ascii="Candara" w:hAnsi="Candara"/>
          <w:sz w:val="22"/>
          <w:szCs w:val="22"/>
        </w:rPr>
      </w:pPr>
    </w:p>
    <w:p w:rsidR="00791E04" w:rsidRPr="002A69D0" w:rsidRDefault="001E29CE" w:rsidP="00304037">
      <w:pPr>
        <w:numPr>
          <w:ilvl w:val="0"/>
          <w:numId w:val="2"/>
        </w:numPr>
        <w:spacing w:line="360" w:lineRule="atLeast"/>
        <w:ind w:left="284" w:hanging="284"/>
        <w:jc w:val="both"/>
        <w:rPr>
          <w:rFonts w:ascii="Candara" w:hAnsi="Candara"/>
          <w:b/>
          <w:sz w:val="24"/>
          <w:szCs w:val="22"/>
        </w:rPr>
      </w:pPr>
      <w:r w:rsidRPr="002A69D0">
        <w:rPr>
          <w:rFonts w:ascii="Candara" w:hAnsi="Candara"/>
          <w:b/>
          <w:sz w:val="24"/>
          <w:szCs w:val="22"/>
        </w:rPr>
        <w:t>ACTIVOS FIXOS TANGÍVEIS</w:t>
      </w:r>
    </w:p>
    <w:p w:rsidR="00791E04" w:rsidRPr="002A69D0" w:rsidRDefault="002A69D0" w:rsidP="00304037">
      <w:pPr>
        <w:spacing w:line="360" w:lineRule="atLeast"/>
        <w:jc w:val="both"/>
        <w:rPr>
          <w:rFonts w:ascii="Candara" w:hAnsi="Candara"/>
          <w:b/>
          <w:i/>
          <w:sz w:val="22"/>
          <w:szCs w:val="22"/>
        </w:rPr>
      </w:pPr>
      <w:r w:rsidRPr="002A69D0">
        <w:rPr>
          <w:rFonts w:ascii="Candara" w:hAnsi="Candara"/>
          <w:b/>
          <w:i/>
          <w:sz w:val="22"/>
          <w:szCs w:val="22"/>
        </w:rPr>
        <w:t>4</w:t>
      </w:r>
      <w:r w:rsidR="000332C4" w:rsidRPr="002A69D0">
        <w:rPr>
          <w:rFonts w:ascii="Candara" w:hAnsi="Candara"/>
          <w:b/>
          <w:i/>
          <w:sz w:val="22"/>
          <w:szCs w:val="22"/>
        </w:rPr>
        <w:t>.1</w:t>
      </w:r>
      <w:r w:rsidR="00BD58E1">
        <w:rPr>
          <w:rFonts w:ascii="Candara" w:hAnsi="Candara"/>
          <w:b/>
          <w:i/>
          <w:sz w:val="22"/>
          <w:szCs w:val="22"/>
        </w:rPr>
        <w:t xml:space="preserve"> </w:t>
      </w:r>
      <w:r w:rsidR="00BD58E1" w:rsidRPr="00BD58E1">
        <w:rPr>
          <w:rFonts w:ascii="Candara" w:hAnsi="Candara"/>
          <w:b/>
          <w:i/>
          <w:sz w:val="22"/>
          <w:szCs w:val="22"/>
        </w:rPr>
        <w:t>—</w:t>
      </w:r>
      <w:r w:rsidR="000332C4" w:rsidRPr="002A69D0">
        <w:rPr>
          <w:rFonts w:ascii="Candara" w:hAnsi="Candara"/>
          <w:b/>
          <w:i/>
          <w:sz w:val="22"/>
          <w:szCs w:val="22"/>
        </w:rPr>
        <w:t xml:space="preserve"> </w:t>
      </w:r>
      <w:r w:rsidRPr="002A69D0">
        <w:rPr>
          <w:rFonts w:ascii="Candara" w:hAnsi="Candara"/>
          <w:b/>
          <w:i/>
          <w:sz w:val="22"/>
          <w:szCs w:val="22"/>
        </w:rPr>
        <w:t>Divulgações para cada classe de ativos fixos tangíveis</w:t>
      </w:r>
      <w:r w:rsidR="00594419" w:rsidRPr="002A69D0">
        <w:rPr>
          <w:rFonts w:ascii="Candara" w:hAnsi="Candara"/>
          <w:b/>
          <w:i/>
          <w:sz w:val="22"/>
          <w:szCs w:val="22"/>
        </w:rPr>
        <w:t>:</w:t>
      </w:r>
    </w:p>
    <w:p w:rsidR="00DE7964" w:rsidRPr="002A69D0" w:rsidRDefault="00DE7964" w:rsidP="00304037">
      <w:pPr>
        <w:spacing w:line="276" w:lineRule="auto"/>
        <w:jc w:val="both"/>
        <w:rPr>
          <w:rFonts w:ascii="Candara" w:hAnsi="Candara"/>
          <w:b/>
          <w:sz w:val="22"/>
          <w:szCs w:val="22"/>
        </w:rPr>
      </w:pPr>
    </w:p>
    <w:p w:rsidR="0011053C" w:rsidRPr="00304037" w:rsidRDefault="002A69D0" w:rsidP="00304037">
      <w:pPr>
        <w:numPr>
          <w:ilvl w:val="0"/>
          <w:numId w:val="3"/>
        </w:numPr>
        <w:spacing w:line="276" w:lineRule="auto"/>
        <w:ind w:left="284" w:hanging="284"/>
        <w:jc w:val="both"/>
        <w:rPr>
          <w:rFonts w:ascii="Candara" w:hAnsi="Candara"/>
          <w:b/>
          <w:i/>
          <w:sz w:val="22"/>
          <w:szCs w:val="22"/>
        </w:rPr>
      </w:pPr>
      <w:r w:rsidRPr="00304037">
        <w:rPr>
          <w:rFonts w:ascii="Candara" w:hAnsi="Candara"/>
          <w:b/>
          <w:i/>
          <w:sz w:val="22"/>
          <w:szCs w:val="22"/>
        </w:rPr>
        <w:t>C</w:t>
      </w:r>
      <w:r w:rsidR="0011053C" w:rsidRPr="00304037">
        <w:rPr>
          <w:rFonts w:ascii="Candara" w:hAnsi="Candara"/>
          <w:b/>
          <w:i/>
          <w:sz w:val="22"/>
          <w:szCs w:val="22"/>
        </w:rPr>
        <w:t>ritérios de mensuração usados para determi</w:t>
      </w:r>
      <w:r w:rsidR="00CA6FA5" w:rsidRPr="00304037">
        <w:rPr>
          <w:rFonts w:ascii="Candara" w:hAnsi="Candara"/>
          <w:b/>
          <w:i/>
          <w:sz w:val="22"/>
          <w:szCs w:val="22"/>
        </w:rPr>
        <w:t>nar a quantia escriturada bruta:</w:t>
      </w:r>
    </w:p>
    <w:p w:rsidR="0011053C" w:rsidRPr="00304037" w:rsidRDefault="0011053C" w:rsidP="00304037">
      <w:pPr>
        <w:spacing w:line="360" w:lineRule="atLeast"/>
        <w:ind w:left="284"/>
        <w:jc w:val="both"/>
        <w:rPr>
          <w:rFonts w:ascii="Candara" w:hAnsi="Candara"/>
          <w:sz w:val="22"/>
          <w:szCs w:val="22"/>
        </w:rPr>
      </w:pPr>
      <w:r w:rsidRPr="00304037">
        <w:rPr>
          <w:rFonts w:ascii="Candara" w:hAnsi="Candara"/>
          <w:sz w:val="22"/>
          <w:szCs w:val="22"/>
        </w:rPr>
        <w:t>Os ativos fixos tangíveis encontram-se registados ao custo de aquisição deduzido das respetivas depreciações acu</w:t>
      </w:r>
      <w:r w:rsidR="00CA6FA5" w:rsidRPr="00304037">
        <w:rPr>
          <w:rFonts w:ascii="Candara" w:hAnsi="Candara"/>
          <w:sz w:val="22"/>
          <w:szCs w:val="22"/>
        </w:rPr>
        <w:t>muladas e perdas por imparidade acumuladas.</w:t>
      </w:r>
    </w:p>
    <w:p w:rsidR="0011053C" w:rsidRPr="00304037" w:rsidRDefault="0011053C" w:rsidP="00304037">
      <w:pPr>
        <w:spacing w:line="360" w:lineRule="atLeast"/>
        <w:ind w:left="284"/>
        <w:jc w:val="both"/>
        <w:rPr>
          <w:rFonts w:ascii="Candara" w:hAnsi="Candara"/>
          <w:sz w:val="22"/>
          <w:szCs w:val="22"/>
        </w:rPr>
      </w:pPr>
      <w:r w:rsidRPr="00304037">
        <w:rPr>
          <w:rFonts w:ascii="Candara" w:hAnsi="Candara"/>
          <w:sz w:val="22"/>
          <w:szCs w:val="22"/>
        </w:rPr>
        <w:t xml:space="preserve">Os custos subsequentes são reconhecidos como ativos fixos tangíveis apenas se for provável que deles resultarão benefícios económicos futuros. </w:t>
      </w:r>
      <w:r w:rsidR="00FA4E0F" w:rsidRPr="00304037">
        <w:rPr>
          <w:rFonts w:ascii="Candara" w:hAnsi="Candara"/>
          <w:sz w:val="22"/>
          <w:szCs w:val="22"/>
        </w:rPr>
        <w:t>As despesas com manutenção e reparação são reconhecidas como custo à medida que são incorridas de acordo com o princípio da especialização dos exercícios.</w:t>
      </w:r>
    </w:p>
    <w:p w:rsidR="00FA4E0F" w:rsidRPr="00304037" w:rsidRDefault="00FA4E0F" w:rsidP="00304037">
      <w:pPr>
        <w:spacing w:line="276" w:lineRule="auto"/>
        <w:ind w:left="284"/>
        <w:jc w:val="both"/>
        <w:rPr>
          <w:rFonts w:ascii="Candara" w:hAnsi="Candara"/>
          <w:sz w:val="22"/>
          <w:szCs w:val="22"/>
        </w:rPr>
      </w:pPr>
    </w:p>
    <w:p w:rsidR="001075CD" w:rsidRPr="00304037" w:rsidRDefault="00304037" w:rsidP="00304037">
      <w:pPr>
        <w:numPr>
          <w:ilvl w:val="0"/>
          <w:numId w:val="3"/>
        </w:numPr>
        <w:tabs>
          <w:tab w:val="left" w:pos="0"/>
        </w:tabs>
        <w:spacing w:line="360" w:lineRule="atLeast"/>
        <w:ind w:left="284" w:hanging="284"/>
        <w:jc w:val="both"/>
        <w:rPr>
          <w:rFonts w:ascii="Candara" w:hAnsi="Candara"/>
          <w:b/>
          <w:i/>
          <w:sz w:val="22"/>
          <w:szCs w:val="22"/>
        </w:rPr>
      </w:pPr>
      <w:r>
        <w:rPr>
          <w:rFonts w:ascii="Candara" w:hAnsi="Candara"/>
          <w:b/>
          <w:i/>
          <w:sz w:val="22"/>
          <w:szCs w:val="22"/>
        </w:rPr>
        <w:t>M</w:t>
      </w:r>
      <w:r w:rsidR="00CA6FA5" w:rsidRPr="00304037">
        <w:rPr>
          <w:rFonts w:ascii="Candara" w:hAnsi="Candara"/>
          <w:b/>
          <w:i/>
          <w:sz w:val="22"/>
          <w:szCs w:val="22"/>
        </w:rPr>
        <w:t>étodos de depreciação usados:</w:t>
      </w:r>
    </w:p>
    <w:p w:rsidR="00A32093" w:rsidRDefault="00D3785E" w:rsidP="00304037">
      <w:pPr>
        <w:spacing w:line="360" w:lineRule="atLeast"/>
        <w:ind w:left="284"/>
        <w:jc w:val="both"/>
        <w:rPr>
          <w:rFonts w:ascii="Candara" w:hAnsi="Candara"/>
          <w:sz w:val="22"/>
          <w:szCs w:val="22"/>
        </w:rPr>
      </w:pPr>
      <w:r w:rsidRPr="00304037">
        <w:rPr>
          <w:rFonts w:ascii="Candara" w:hAnsi="Candara"/>
          <w:sz w:val="22"/>
          <w:szCs w:val="22"/>
        </w:rPr>
        <w:t xml:space="preserve">As depreciações </w:t>
      </w:r>
      <w:r w:rsidR="0042751B" w:rsidRPr="00304037">
        <w:rPr>
          <w:rFonts w:ascii="Candara" w:hAnsi="Candara"/>
          <w:sz w:val="22"/>
          <w:szCs w:val="22"/>
        </w:rPr>
        <w:t>são</w:t>
      </w:r>
      <w:r w:rsidRPr="00304037">
        <w:rPr>
          <w:rFonts w:ascii="Candara" w:hAnsi="Candara"/>
          <w:sz w:val="22"/>
          <w:szCs w:val="22"/>
        </w:rPr>
        <w:t xml:space="preserve"> calculadas numa base sistemática segundo</w:t>
      </w:r>
      <w:r w:rsidR="00C90368" w:rsidRPr="00304037">
        <w:rPr>
          <w:rFonts w:ascii="Candara" w:hAnsi="Candara"/>
          <w:sz w:val="22"/>
          <w:szCs w:val="22"/>
        </w:rPr>
        <w:t xml:space="preserve"> </w:t>
      </w:r>
      <w:r w:rsidR="005A030D" w:rsidRPr="00304037">
        <w:rPr>
          <w:rFonts w:ascii="Candara" w:hAnsi="Candara"/>
          <w:sz w:val="22"/>
          <w:szCs w:val="22"/>
        </w:rPr>
        <w:t>o método da linha reta</w:t>
      </w:r>
      <w:r w:rsidR="00A32093">
        <w:rPr>
          <w:rFonts w:ascii="Candara" w:hAnsi="Candara"/>
          <w:sz w:val="22"/>
          <w:szCs w:val="22"/>
        </w:rPr>
        <w:t>.</w:t>
      </w:r>
    </w:p>
    <w:p w:rsidR="00571579" w:rsidRPr="00304037" w:rsidRDefault="0042751B" w:rsidP="00304037">
      <w:pPr>
        <w:spacing w:line="360" w:lineRule="atLeast"/>
        <w:ind w:left="284"/>
        <w:jc w:val="both"/>
        <w:rPr>
          <w:rFonts w:ascii="Candara" w:hAnsi="Candara"/>
          <w:sz w:val="22"/>
          <w:szCs w:val="22"/>
        </w:rPr>
      </w:pPr>
      <w:r w:rsidRPr="00304037">
        <w:rPr>
          <w:rFonts w:ascii="Candara" w:hAnsi="Candara"/>
          <w:sz w:val="22"/>
          <w:szCs w:val="22"/>
        </w:rPr>
        <w:t xml:space="preserve"> Os terrenos não são depreciados.</w:t>
      </w:r>
      <w:r w:rsidR="00D3785E" w:rsidRPr="00304037">
        <w:rPr>
          <w:rFonts w:ascii="Candara" w:hAnsi="Candara"/>
          <w:sz w:val="22"/>
          <w:szCs w:val="22"/>
        </w:rPr>
        <w:t xml:space="preserve"> </w:t>
      </w:r>
    </w:p>
    <w:p w:rsidR="00AE2BCA" w:rsidRPr="00C26B1F" w:rsidRDefault="00AE2BCA" w:rsidP="00304037">
      <w:pPr>
        <w:spacing w:line="360" w:lineRule="atLeast"/>
        <w:jc w:val="both"/>
        <w:rPr>
          <w:rFonts w:ascii="Candara" w:hAnsi="Candara"/>
          <w:b/>
          <w:sz w:val="22"/>
          <w:szCs w:val="22"/>
          <w:highlight w:val="yellow"/>
        </w:rPr>
      </w:pPr>
    </w:p>
    <w:p w:rsidR="00AE2BCA" w:rsidRPr="00304037" w:rsidRDefault="001075CD" w:rsidP="00304037">
      <w:pPr>
        <w:spacing w:line="360" w:lineRule="atLeast"/>
        <w:jc w:val="both"/>
        <w:rPr>
          <w:rFonts w:ascii="Candara" w:hAnsi="Candara"/>
          <w:b/>
          <w:i/>
          <w:sz w:val="22"/>
          <w:szCs w:val="22"/>
        </w:rPr>
      </w:pPr>
      <w:r w:rsidRPr="00304037">
        <w:rPr>
          <w:rFonts w:ascii="Candara" w:hAnsi="Candara"/>
          <w:b/>
          <w:i/>
          <w:sz w:val="22"/>
          <w:szCs w:val="22"/>
        </w:rPr>
        <w:t>c</w:t>
      </w:r>
      <w:r w:rsidR="00AE55EF" w:rsidRPr="00304037">
        <w:rPr>
          <w:rFonts w:ascii="Candara" w:hAnsi="Candara"/>
          <w:b/>
          <w:i/>
          <w:sz w:val="22"/>
          <w:szCs w:val="22"/>
        </w:rPr>
        <w:t xml:space="preserve">) </w:t>
      </w:r>
      <w:r w:rsidR="00304037" w:rsidRPr="00304037">
        <w:rPr>
          <w:rFonts w:ascii="Candara" w:hAnsi="Candara"/>
          <w:b/>
          <w:i/>
          <w:sz w:val="22"/>
          <w:szCs w:val="22"/>
        </w:rPr>
        <w:t>V</w:t>
      </w:r>
      <w:r w:rsidR="00007024" w:rsidRPr="00304037">
        <w:rPr>
          <w:rFonts w:ascii="Candara" w:hAnsi="Candara"/>
          <w:b/>
          <w:i/>
          <w:sz w:val="22"/>
          <w:szCs w:val="22"/>
        </w:rPr>
        <w:t>idas úteis ou as taxas de depreciação usadas:</w:t>
      </w:r>
    </w:p>
    <w:p w:rsidR="00475FA7" w:rsidRPr="00304037" w:rsidRDefault="00475FA7" w:rsidP="00304037">
      <w:pPr>
        <w:spacing w:line="360" w:lineRule="atLeast"/>
        <w:ind w:left="284"/>
        <w:jc w:val="both"/>
        <w:rPr>
          <w:rFonts w:ascii="Candara" w:hAnsi="Candara"/>
          <w:sz w:val="22"/>
          <w:szCs w:val="22"/>
        </w:rPr>
      </w:pPr>
      <w:r w:rsidRPr="00304037">
        <w:rPr>
          <w:rFonts w:ascii="Candara" w:hAnsi="Candara"/>
          <w:sz w:val="22"/>
          <w:szCs w:val="22"/>
        </w:rPr>
        <w:t>As vidas úteis foram determinadas de acordo com a expectativa da afetação do desempenho dos ativos.</w:t>
      </w:r>
    </w:p>
    <w:p w:rsidR="001125AD" w:rsidRPr="00304037" w:rsidRDefault="001125AD" w:rsidP="00304037">
      <w:pPr>
        <w:spacing w:line="360" w:lineRule="atLeast"/>
        <w:ind w:left="284"/>
        <w:jc w:val="both"/>
        <w:rPr>
          <w:rFonts w:ascii="Candara" w:hAnsi="Candara"/>
          <w:sz w:val="22"/>
          <w:szCs w:val="22"/>
        </w:rPr>
      </w:pPr>
      <w:r w:rsidRPr="00304037">
        <w:rPr>
          <w:rFonts w:ascii="Candara" w:hAnsi="Candara"/>
          <w:sz w:val="22"/>
          <w:szCs w:val="22"/>
        </w:rPr>
        <w:t>As taxas de depreciação utilizadas correspondem aos seguintes períodos de vida útil estimada:</w:t>
      </w:r>
    </w:p>
    <w:p w:rsidR="00475FA7" w:rsidRPr="00304037" w:rsidRDefault="00475FA7" w:rsidP="00304037">
      <w:pPr>
        <w:spacing w:line="276" w:lineRule="auto"/>
        <w:ind w:left="284"/>
        <w:jc w:val="both"/>
        <w:rPr>
          <w:rFonts w:ascii="Candara" w:hAnsi="Candara"/>
          <w:sz w:val="22"/>
          <w:szCs w:val="22"/>
        </w:rPr>
      </w:pPr>
    </w:p>
    <w:bookmarkStart w:id="1" w:name="_MON_1391262372"/>
    <w:bookmarkEnd w:id="1"/>
    <w:p w:rsidR="00475FA7" w:rsidRPr="00304037" w:rsidRDefault="00610A3F" w:rsidP="00BD58E1">
      <w:pPr>
        <w:spacing w:line="360" w:lineRule="atLeast"/>
        <w:jc w:val="center"/>
        <w:rPr>
          <w:rFonts w:ascii="Candara" w:hAnsi="Candara"/>
          <w:sz w:val="22"/>
          <w:szCs w:val="22"/>
        </w:rPr>
      </w:pPr>
      <w:r w:rsidRPr="00304037">
        <w:rPr>
          <w:szCs w:val="22"/>
        </w:rPr>
        <w:object w:dxaOrig="7125" w:dyaOrig="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94.5pt" o:ole="">
            <v:imagedata r:id="rId8" o:title=""/>
          </v:shape>
          <o:OLEObject Type="Embed" ProgID="Excel.Sheet.8" ShapeID="_x0000_i1025" DrawAspect="Content" ObjectID="_1550245056" r:id="rId9"/>
        </w:object>
      </w:r>
    </w:p>
    <w:p w:rsidR="00FD20D3" w:rsidRPr="00076290" w:rsidRDefault="00FD20D3" w:rsidP="00304037">
      <w:pPr>
        <w:spacing w:line="360" w:lineRule="atLeast"/>
        <w:jc w:val="both"/>
        <w:rPr>
          <w:rFonts w:ascii="Candara" w:hAnsi="Candara"/>
          <w:sz w:val="22"/>
          <w:szCs w:val="22"/>
        </w:rPr>
      </w:pPr>
    </w:p>
    <w:p w:rsidR="00304037" w:rsidRPr="00076290" w:rsidRDefault="00A440C7" w:rsidP="00304037">
      <w:pPr>
        <w:spacing w:line="360" w:lineRule="atLeast"/>
        <w:jc w:val="both"/>
        <w:rPr>
          <w:rFonts w:ascii="Candara" w:hAnsi="Candara"/>
          <w:b/>
          <w:i/>
          <w:sz w:val="22"/>
          <w:szCs w:val="22"/>
        </w:rPr>
      </w:pPr>
      <w:r>
        <w:rPr>
          <w:rFonts w:ascii="Candara" w:hAnsi="Candara"/>
          <w:b/>
          <w:i/>
          <w:sz w:val="22"/>
          <w:szCs w:val="22"/>
        </w:rPr>
        <w:t>d</w:t>
      </w:r>
      <w:r w:rsidR="00304037" w:rsidRPr="00076290">
        <w:rPr>
          <w:rFonts w:ascii="Candara" w:hAnsi="Candara"/>
          <w:b/>
          <w:i/>
          <w:sz w:val="22"/>
          <w:szCs w:val="22"/>
        </w:rPr>
        <w:t>) Reconciliação da quantia escriturada no início e no fim do período</w:t>
      </w:r>
      <w:r w:rsidR="00B22881">
        <w:rPr>
          <w:rFonts w:ascii="Candara" w:hAnsi="Candara"/>
          <w:b/>
          <w:i/>
          <w:sz w:val="22"/>
          <w:szCs w:val="22"/>
        </w:rPr>
        <w:t xml:space="preserve"> que</w:t>
      </w:r>
      <w:r w:rsidR="00304037" w:rsidRPr="00076290">
        <w:rPr>
          <w:rFonts w:ascii="Candara" w:hAnsi="Candara"/>
          <w:b/>
          <w:i/>
          <w:sz w:val="22"/>
          <w:szCs w:val="22"/>
        </w:rPr>
        <w:t xml:space="preserve"> mostre as adições, as rev</w:t>
      </w:r>
      <w:r w:rsidR="00B22881">
        <w:rPr>
          <w:rFonts w:ascii="Candara" w:hAnsi="Candara"/>
          <w:b/>
          <w:i/>
          <w:sz w:val="22"/>
          <w:szCs w:val="22"/>
        </w:rPr>
        <w:t>alorizações, as alienações, as depreciações</w:t>
      </w:r>
      <w:r w:rsidR="00304037" w:rsidRPr="00076290">
        <w:rPr>
          <w:rFonts w:ascii="Candara" w:hAnsi="Candara"/>
          <w:b/>
          <w:i/>
          <w:sz w:val="22"/>
          <w:szCs w:val="22"/>
        </w:rPr>
        <w:t>, as perdas de imparidade e suas reversões e outras alterações:</w:t>
      </w:r>
    </w:p>
    <w:p w:rsidR="00304037" w:rsidRPr="00076290" w:rsidRDefault="00304037" w:rsidP="00304037">
      <w:pPr>
        <w:spacing w:line="276" w:lineRule="auto"/>
        <w:jc w:val="both"/>
        <w:rPr>
          <w:rFonts w:ascii="Candara" w:hAnsi="Candara"/>
          <w:sz w:val="16"/>
          <w:szCs w:val="16"/>
        </w:rPr>
      </w:pPr>
    </w:p>
    <w:p w:rsidR="00304037" w:rsidRPr="00076290" w:rsidRDefault="00304037" w:rsidP="00304037">
      <w:pPr>
        <w:spacing w:line="360" w:lineRule="atLeast"/>
        <w:jc w:val="both"/>
        <w:rPr>
          <w:rFonts w:ascii="Candara" w:hAnsi="Candara"/>
          <w:sz w:val="22"/>
          <w:szCs w:val="22"/>
        </w:rPr>
      </w:pPr>
      <w:r w:rsidRPr="00076290">
        <w:rPr>
          <w:rFonts w:ascii="Candara" w:hAnsi="Candara"/>
          <w:sz w:val="22"/>
          <w:szCs w:val="22"/>
        </w:rPr>
        <w:t>A quantia escriturada, as depreciações acumuladas, reconciliação da quantia escriturada no início e no fim do período mostrando as adições, os abates, as amortizações, as perdas de imparidade e suas reversões e outras alterações, foram desenvolvidas de acordo com o seguinte quadro:</w:t>
      </w:r>
    </w:p>
    <w:p w:rsidR="00304037" w:rsidRPr="00C26B1F" w:rsidRDefault="00304037" w:rsidP="00304037">
      <w:pPr>
        <w:spacing w:line="360" w:lineRule="atLeast"/>
        <w:jc w:val="both"/>
        <w:rPr>
          <w:rFonts w:ascii="Candara" w:hAnsi="Candara"/>
          <w:b/>
          <w:i/>
          <w:sz w:val="22"/>
          <w:szCs w:val="22"/>
          <w:highlight w:val="yellow"/>
        </w:rPr>
      </w:pPr>
    </w:p>
    <w:bookmarkStart w:id="2" w:name="_MON_1391262393"/>
    <w:bookmarkStart w:id="3" w:name="_MON_1391262443"/>
    <w:bookmarkStart w:id="4" w:name="_MON_1399356060"/>
    <w:bookmarkStart w:id="5" w:name="_MON_1391262464"/>
    <w:bookmarkEnd w:id="2"/>
    <w:bookmarkEnd w:id="3"/>
    <w:bookmarkEnd w:id="4"/>
    <w:bookmarkEnd w:id="5"/>
    <w:bookmarkStart w:id="6" w:name="_MON_1391262538"/>
    <w:bookmarkEnd w:id="6"/>
    <w:p w:rsidR="00A95E9E" w:rsidRPr="00C26B1F" w:rsidRDefault="00D47301" w:rsidP="00304037">
      <w:pPr>
        <w:spacing w:line="360" w:lineRule="atLeast"/>
        <w:jc w:val="both"/>
        <w:rPr>
          <w:szCs w:val="22"/>
          <w:highlight w:val="yellow"/>
        </w:rPr>
      </w:pPr>
      <w:r w:rsidRPr="00D140EC">
        <w:rPr>
          <w:szCs w:val="22"/>
        </w:rPr>
        <w:object w:dxaOrig="13065" w:dyaOrig="4005">
          <v:shape id="_x0000_i1026" type="#_x0000_t75" style="width:438.75pt;height:179.25pt" o:ole="">
            <v:imagedata r:id="rId10" o:title=""/>
          </v:shape>
          <o:OLEObject Type="Embed" ProgID="Excel.Sheet.8" ShapeID="_x0000_i1026" DrawAspect="Content" ObjectID="_1550245057" r:id="rId11"/>
        </w:object>
      </w:r>
    </w:p>
    <w:bookmarkStart w:id="7" w:name="_MON_1391262831"/>
    <w:bookmarkStart w:id="8" w:name="_MON_1399356146"/>
    <w:bookmarkStart w:id="9" w:name="_MON_1399356155"/>
    <w:bookmarkEnd w:id="7"/>
    <w:bookmarkEnd w:id="8"/>
    <w:bookmarkEnd w:id="9"/>
    <w:bookmarkStart w:id="10" w:name="_MON_1391262719"/>
    <w:bookmarkEnd w:id="10"/>
    <w:p w:rsidR="00B064D2" w:rsidRDefault="0029703C" w:rsidP="00304037">
      <w:pPr>
        <w:spacing w:line="360" w:lineRule="atLeast"/>
        <w:jc w:val="both"/>
        <w:rPr>
          <w:szCs w:val="22"/>
        </w:rPr>
      </w:pPr>
      <w:r w:rsidRPr="00BB1864">
        <w:rPr>
          <w:szCs w:val="22"/>
        </w:rPr>
        <w:object w:dxaOrig="13260" w:dyaOrig="3165">
          <v:shape id="_x0000_i1027" type="#_x0000_t75" style="width:467.25pt;height:176.25pt" o:ole="">
            <v:imagedata r:id="rId12" o:title=""/>
          </v:shape>
          <o:OLEObject Type="Embed" ProgID="Excel.Sheet.8" ShapeID="_x0000_i1027" DrawAspect="Content" ObjectID="_1550245058" r:id="rId13"/>
        </w:object>
      </w:r>
    </w:p>
    <w:p w:rsidR="001D73F8" w:rsidRPr="00C26B1F" w:rsidRDefault="001D73F8" w:rsidP="00304037">
      <w:pPr>
        <w:spacing w:line="360" w:lineRule="atLeast"/>
        <w:jc w:val="both"/>
        <w:rPr>
          <w:szCs w:val="22"/>
          <w:highlight w:val="yellow"/>
        </w:rPr>
      </w:pPr>
    </w:p>
    <w:p w:rsidR="00BA54DA" w:rsidRPr="00304037" w:rsidRDefault="00BA54DA" w:rsidP="00304037">
      <w:pPr>
        <w:autoSpaceDE w:val="0"/>
        <w:autoSpaceDN w:val="0"/>
        <w:adjustRightInd w:val="0"/>
        <w:jc w:val="both"/>
        <w:rPr>
          <w:rFonts w:ascii="Candara" w:hAnsi="Candara" w:cs="TimesNewRomanPSMT"/>
          <w:b/>
          <w:sz w:val="22"/>
          <w:szCs w:val="22"/>
        </w:rPr>
      </w:pPr>
    </w:p>
    <w:p w:rsidR="00C6737D" w:rsidRPr="00304037" w:rsidRDefault="00304037" w:rsidP="00304037">
      <w:pPr>
        <w:autoSpaceDE w:val="0"/>
        <w:autoSpaceDN w:val="0"/>
        <w:adjustRightInd w:val="0"/>
        <w:jc w:val="both"/>
        <w:rPr>
          <w:rFonts w:ascii="Candara" w:hAnsi="Candara" w:cs="TimesNewRomanPSMT"/>
          <w:b/>
          <w:i/>
          <w:sz w:val="22"/>
          <w:szCs w:val="22"/>
        </w:rPr>
      </w:pPr>
      <w:r>
        <w:rPr>
          <w:rFonts w:ascii="Candara" w:hAnsi="Candara" w:cs="TimesNewRomanPSMT"/>
          <w:b/>
          <w:i/>
          <w:sz w:val="22"/>
          <w:szCs w:val="22"/>
        </w:rPr>
        <w:t>4</w:t>
      </w:r>
      <w:r w:rsidR="00BD58E1">
        <w:rPr>
          <w:rFonts w:ascii="Candara" w:hAnsi="Candara" w:cs="TimesNewRomanPSMT"/>
          <w:b/>
          <w:i/>
          <w:sz w:val="22"/>
          <w:szCs w:val="22"/>
        </w:rPr>
        <w:t xml:space="preserve">.2 </w:t>
      </w:r>
      <w:r w:rsidR="00BD58E1" w:rsidRPr="00BD58E1">
        <w:rPr>
          <w:rFonts w:ascii="Candara" w:hAnsi="Candara"/>
          <w:b/>
          <w:i/>
          <w:sz w:val="22"/>
          <w:szCs w:val="22"/>
        </w:rPr>
        <w:t>—</w:t>
      </w:r>
      <w:r w:rsidR="00BD58E1">
        <w:rPr>
          <w:rFonts w:ascii="Candara" w:hAnsi="Candara"/>
          <w:b/>
          <w:i/>
          <w:sz w:val="22"/>
          <w:szCs w:val="22"/>
        </w:rPr>
        <w:t xml:space="preserve"> </w:t>
      </w:r>
      <w:r w:rsidRPr="00304037">
        <w:rPr>
          <w:rFonts w:ascii="Candara" w:hAnsi="Candara" w:cs="TimesNewRomanPSMT"/>
          <w:b/>
          <w:i/>
          <w:sz w:val="22"/>
          <w:szCs w:val="22"/>
        </w:rPr>
        <w:t>Divulgações sobre restrições, garantias e compromissos:</w:t>
      </w:r>
    </w:p>
    <w:p w:rsidR="00C6737D" w:rsidRPr="00304037" w:rsidRDefault="00C6737D" w:rsidP="00304037">
      <w:pPr>
        <w:spacing w:line="360" w:lineRule="atLeast"/>
        <w:jc w:val="both"/>
        <w:rPr>
          <w:rFonts w:ascii="Candara" w:hAnsi="Candara"/>
          <w:b/>
          <w:i/>
          <w:sz w:val="22"/>
          <w:szCs w:val="22"/>
        </w:rPr>
      </w:pPr>
    </w:p>
    <w:p w:rsidR="00C6737D" w:rsidRPr="00304037" w:rsidRDefault="00C6737D" w:rsidP="00304037">
      <w:pPr>
        <w:autoSpaceDE w:val="0"/>
        <w:autoSpaceDN w:val="0"/>
        <w:adjustRightInd w:val="0"/>
        <w:jc w:val="both"/>
        <w:rPr>
          <w:rFonts w:ascii="Candara" w:hAnsi="Candara" w:cs="TimesNewRomanPSMT"/>
          <w:b/>
          <w:i/>
          <w:sz w:val="22"/>
          <w:szCs w:val="22"/>
        </w:rPr>
      </w:pPr>
      <w:r w:rsidRPr="00304037">
        <w:rPr>
          <w:rFonts w:ascii="Candara" w:hAnsi="Candara" w:cs="TimesNewRomanPS-ItalicMT"/>
          <w:b/>
          <w:i/>
          <w:iCs/>
          <w:sz w:val="22"/>
          <w:szCs w:val="22"/>
        </w:rPr>
        <w:t>a</w:t>
      </w:r>
      <w:r w:rsidRPr="00304037">
        <w:rPr>
          <w:rFonts w:ascii="Candara" w:hAnsi="Candara" w:cs="TimesNewRomanPSMT"/>
          <w:b/>
          <w:i/>
          <w:sz w:val="22"/>
          <w:szCs w:val="22"/>
        </w:rPr>
        <w:t xml:space="preserve">) </w:t>
      </w:r>
      <w:r w:rsidR="00304037" w:rsidRPr="00304037">
        <w:rPr>
          <w:rFonts w:ascii="Candara" w:hAnsi="Candara" w:cs="TimesNewRomanPSMT"/>
          <w:b/>
          <w:i/>
          <w:sz w:val="22"/>
          <w:szCs w:val="22"/>
        </w:rPr>
        <w:t>E</w:t>
      </w:r>
      <w:r w:rsidRPr="00304037">
        <w:rPr>
          <w:rFonts w:ascii="Candara" w:hAnsi="Candara" w:cs="TimesNewRomanPSMT"/>
          <w:b/>
          <w:i/>
          <w:sz w:val="22"/>
          <w:szCs w:val="22"/>
        </w:rPr>
        <w:t xml:space="preserve">xistência e quantias de restrições de titularidade </w:t>
      </w:r>
      <w:r w:rsidR="00304037" w:rsidRPr="00304037">
        <w:rPr>
          <w:rFonts w:ascii="Candara" w:hAnsi="Candara" w:cs="TimesNewRomanPSMT"/>
          <w:b/>
          <w:i/>
          <w:sz w:val="22"/>
          <w:szCs w:val="22"/>
        </w:rPr>
        <w:t xml:space="preserve">de </w:t>
      </w:r>
      <w:r w:rsidRPr="00304037">
        <w:rPr>
          <w:rFonts w:ascii="Candara" w:hAnsi="Candara" w:cs="TimesNewRomanPSMT"/>
          <w:b/>
          <w:i/>
          <w:sz w:val="22"/>
          <w:szCs w:val="22"/>
        </w:rPr>
        <w:t>ativos fixos tangíveis que sejam dados como garantia de passivos;</w:t>
      </w:r>
    </w:p>
    <w:p w:rsidR="00C6737D" w:rsidRPr="00304037" w:rsidRDefault="004167C6" w:rsidP="00304037">
      <w:pPr>
        <w:spacing w:line="360" w:lineRule="atLeast"/>
        <w:jc w:val="both"/>
        <w:rPr>
          <w:rFonts w:ascii="Candara" w:hAnsi="Candara"/>
          <w:sz w:val="22"/>
          <w:szCs w:val="22"/>
        </w:rPr>
      </w:pPr>
      <w:r w:rsidRPr="00304037">
        <w:rPr>
          <w:rFonts w:ascii="Candara" w:hAnsi="Candara"/>
          <w:sz w:val="22"/>
          <w:szCs w:val="22"/>
        </w:rPr>
        <w:t>Não existem quaisquer restrições à titularidade de ativos fixos tangíveis da Instituição.</w:t>
      </w:r>
    </w:p>
    <w:p w:rsidR="001314E9" w:rsidRPr="00304037" w:rsidRDefault="001314E9" w:rsidP="00304037">
      <w:pPr>
        <w:autoSpaceDE w:val="0"/>
        <w:autoSpaceDN w:val="0"/>
        <w:adjustRightInd w:val="0"/>
        <w:jc w:val="both"/>
        <w:rPr>
          <w:rFonts w:ascii="Candara" w:hAnsi="Candara" w:cs="TimesNewRomanPS-ItalicMT"/>
          <w:b/>
          <w:iCs/>
          <w:sz w:val="22"/>
          <w:szCs w:val="22"/>
        </w:rPr>
      </w:pPr>
    </w:p>
    <w:p w:rsidR="001A12A3" w:rsidRPr="00304037" w:rsidRDefault="001A12A3" w:rsidP="00304037">
      <w:pPr>
        <w:autoSpaceDE w:val="0"/>
        <w:autoSpaceDN w:val="0"/>
        <w:adjustRightInd w:val="0"/>
        <w:jc w:val="both"/>
        <w:rPr>
          <w:rFonts w:ascii="Candara" w:hAnsi="Candara" w:cs="TimesNewRomanPS-ItalicMT"/>
          <w:b/>
          <w:iCs/>
          <w:sz w:val="22"/>
          <w:szCs w:val="22"/>
        </w:rPr>
      </w:pPr>
    </w:p>
    <w:p w:rsidR="00D4663B" w:rsidRDefault="00D4663B" w:rsidP="00304037">
      <w:pPr>
        <w:spacing w:line="360" w:lineRule="atLeast"/>
        <w:jc w:val="both"/>
        <w:rPr>
          <w:rFonts w:ascii="Candara" w:hAnsi="Candara"/>
          <w:b/>
          <w:sz w:val="22"/>
          <w:szCs w:val="22"/>
        </w:rPr>
      </w:pPr>
    </w:p>
    <w:p w:rsidR="00BA54DA" w:rsidRDefault="00BA54DA" w:rsidP="00304037">
      <w:pPr>
        <w:spacing w:line="360" w:lineRule="atLeast"/>
        <w:jc w:val="both"/>
        <w:rPr>
          <w:rFonts w:ascii="Candara" w:hAnsi="Candara"/>
          <w:b/>
          <w:sz w:val="22"/>
          <w:szCs w:val="22"/>
        </w:rPr>
      </w:pPr>
    </w:p>
    <w:p w:rsidR="00BA54DA" w:rsidRPr="008200E8" w:rsidRDefault="00BA54DA" w:rsidP="00304037">
      <w:pPr>
        <w:spacing w:line="360" w:lineRule="atLeast"/>
        <w:jc w:val="both"/>
        <w:rPr>
          <w:rFonts w:ascii="Candara" w:hAnsi="Candara"/>
          <w:b/>
          <w:sz w:val="22"/>
          <w:szCs w:val="22"/>
        </w:rPr>
      </w:pPr>
    </w:p>
    <w:p w:rsidR="00FB31F1" w:rsidRPr="008200E8" w:rsidRDefault="00A92DE6" w:rsidP="00304037">
      <w:pPr>
        <w:numPr>
          <w:ilvl w:val="0"/>
          <w:numId w:val="2"/>
        </w:numPr>
        <w:spacing w:line="360" w:lineRule="atLeast"/>
        <w:ind w:left="284" w:hanging="284"/>
        <w:jc w:val="both"/>
        <w:rPr>
          <w:rFonts w:ascii="Candara" w:hAnsi="Candara"/>
          <w:b/>
          <w:sz w:val="24"/>
          <w:szCs w:val="22"/>
        </w:rPr>
      </w:pPr>
      <w:r w:rsidRPr="008200E8">
        <w:rPr>
          <w:rFonts w:ascii="Candara" w:hAnsi="Candara"/>
          <w:b/>
          <w:sz w:val="24"/>
          <w:szCs w:val="22"/>
        </w:rPr>
        <w:t>ATIVOS INTANGÍVEIS</w:t>
      </w:r>
    </w:p>
    <w:p w:rsidR="00FB31F1" w:rsidRPr="008200E8" w:rsidRDefault="00FB31F1" w:rsidP="00304037">
      <w:pPr>
        <w:spacing w:line="360" w:lineRule="atLeast"/>
        <w:jc w:val="both"/>
        <w:rPr>
          <w:rFonts w:ascii="Candara" w:hAnsi="Candara"/>
          <w:b/>
          <w:sz w:val="22"/>
          <w:szCs w:val="22"/>
        </w:rPr>
      </w:pPr>
    </w:p>
    <w:p w:rsidR="00C6737D" w:rsidRPr="008200E8" w:rsidRDefault="007462DE" w:rsidP="008200E8">
      <w:pPr>
        <w:spacing w:line="360" w:lineRule="atLeast"/>
        <w:jc w:val="both"/>
        <w:rPr>
          <w:rFonts w:ascii="Candara" w:hAnsi="Candara"/>
          <w:b/>
          <w:i/>
          <w:sz w:val="22"/>
          <w:szCs w:val="22"/>
        </w:rPr>
      </w:pPr>
      <w:r w:rsidRPr="008200E8">
        <w:rPr>
          <w:rFonts w:ascii="Candara" w:hAnsi="Candara"/>
          <w:b/>
          <w:i/>
          <w:sz w:val="22"/>
          <w:szCs w:val="22"/>
        </w:rPr>
        <w:t>5</w:t>
      </w:r>
      <w:r w:rsidR="00C6737D" w:rsidRPr="008200E8">
        <w:rPr>
          <w:rFonts w:ascii="Candara" w:hAnsi="Candara"/>
          <w:b/>
          <w:i/>
          <w:sz w:val="22"/>
          <w:szCs w:val="22"/>
        </w:rPr>
        <w:t xml:space="preserve">.1 — </w:t>
      </w:r>
      <w:r w:rsidR="008200E8" w:rsidRPr="008200E8">
        <w:rPr>
          <w:rFonts w:ascii="Candara" w:hAnsi="Candara"/>
          <w:b/>
          <w:i/>
          <w:sz w:val="22"/>
          <w:szCs w:val="22"/>
        </w:rPr>
        <w:t>Divulgações para cada classe de ativos intangíveis, distinguindo entre os ativos intangíveis gerados internamente e outros ativos intangíveis</w:t>
      </w:r>
      <w:r w:rsidR="00C6737D" w:rsidRPr="008200E8">
        <w:rPr>
          <w:rFonts w:ascii="Candara" w:hAnsi="Candara"/>
          <w:b/>
          <w:i/>
          <w:sz w:val="22"/>
          <w:szCs w:val="22"/>
        </w:rPr>
        <w:t>:</w:t>
      </w:r>
    </w:p>
    <w:p w:rsidR="000728E2" w:rsidRPr="0099513B" w:rsidRDefault="000728E2" w:rsidP="00304037">
      <w:pPr>
        <w:autoSpaceDE w:val="0"/>
        <w:autoSpaceDN w:val="0"/>
        <w:adjustRightInd w:val="0"/>
        <w:jc w:val="both"/>
        <w:rPr>
          <w:rFonts w:ascii="Candara" w:hAnsi="Candara" w:cs="TimesNewRomanPSMT"/>
          <w:b/>
          <w:sz w:val="22"/>
          <w:szCs w:val="22"/>
        </w:rPr>
      </w:pPr>
    </w:p>
    <w:p w:rsidR="0099513B" w:rsidRPr="0099513B" w:rsidRDefault="0099513B" w:rsidP="0099513B">
      <w:pPr>
        <w:numPr>
          <w:ilvl w:val="0"/>
          <w:numId w:val="6"/>
        </w:numPr>
        <w:spacing w:line="276" w:lineRule="auto"/>
        <w:ind w:left="284" w:hanging="284"/>
        <w:jc w:val="both"/>
        <w:rPr>
          <w:rFonts w:ascii="Candara" w:hAnsi="Candara"/>
          <w:b/>
          <w:i/>
          <w:sz w:val="22"/>
          <w:szCs w:val="22"/>
        </w:rPr>
      </w:pPr>
      <w:r w:rsidRPr="0099513B">
        <w:rPr>
          <w:rFonts w:ascii="Candara" w:hAnsi="Candara"/>
          <w:b/>
          <w:i/>
          <w:sz w:val="22"/>
          <w:szCs w:val="22"/>
        </w:rPr>
        <w:t>Se as vidas úteis são indefinidas ou finitas, os métodos e as correspondentes taxas de amortização usadas, bem como as razões que apoiam a avaliação de uma vida útil indefinida</w:t>
      </w:r>
    </w:p>
    <w:p w:rsidR="00DB0638" w:rsidRPr="0099513B" w:rsidRDefault="00DB0638" w:rsidP="00304037">
      <w:pPr>
        <w:spacing w:line="360" w:lineRule="atLeast"/>
        <w:ind w:left="284"/>
        <w:jc w:val="both"/>
        <w:rPr>
          <w:rFonts w:ascii="Candara" w:hAnsi="Candara"/>
          <w:sz w:val="22"/>
          <w:szCs w:val="22"/>
        </w:rPr>
      </w:pPr>
      <w:r w:rsidRPr="0099513B">
        <w:rPr>
          <w:rFonts w:ascii="Candara" w:hAnsi="Candara"/>
          <w:sz w:val="22"/>
          <w:szCs w:val="22"/>
        </w:rPr>
        <w:t>Os ativos intangíveis encontram-se registados ao custo de aquisição deduzido das respetivas amortizações acumuladas e perdas por imparidade.</w:t>
      </w:r>
    </w:p>
    <w:p w:rsidR="00DB0638" w:rsidRPr="0099513B" w:rsidRDefault="00DB0638" w:rsidP="00304037">
      <w:pPr>
        <w:spacing w:line="360" w:lineRule="atLeast"/>
        <w:ind w:firstLine="284"/>
        <w:jc w:val="both"/>
        <w:rPr>
          <w:rFonts w:ascii="Candara" w:hAnsi="Candara"/>
          <w:sz w:val="22"/>
          <w:szCs w:val="22"/>
        </w:rPr>
      </w:pPr>
      <w:r w:rsidRPr="0099513B">
        <w:rPr>
          <w:rFonts w:ascii="Candara" w:hAnsi="Candara"/>
          <w:sz w:val="22"/>
          <w:szCs w:val="22"/>
        </w:rPr>
        <w:lastRenderedPageBreak/>
        <w:t>Todos os itens constantes na rubrica de ativos intangíveis têm a sua vida útil finita.</w:t>
      </w:r>
    </w:p>
    <w:p w:rsidR="00D15264" w:rsidRPr="0099513B" w:rsidRDefault="00D15264" w:rsidP="00304037">
      <w:pPr>
        <w:autoSpaceDE w:val="0"/>
        <w:autoSpaceDN w:val="0"/>
        <w:adjustRightInd w:val="0"/>
        <w:ind w:left="284"/>
        <w:jc w:val="both"/>
        <w:rPr>
          <w:rFonts w:ascii="Candara" w:hAnsi="Candara" w:cs="TimesNewRomanPSMT"/>
          <w:b/>
          <w:i/>
          <w:sz w:val="22"/>
          <w:szCs w:val="22"/>
        </w:rPr>
      </w:pPr>
    </w:p>
    <w:p w:rsidR="0099513B" w:rsidRPr="0099513B" w:rsidRDefault="0099513B" w:rsidP="0099513B">
      <w:pPr>
        <w:spacing w:line="360" w:lineRule="atLeast"/>
        <w:ind w:left="284"/>
        <w:jc w:val="both"/>
        <w:rPr>
          <w:rFonts w:ascii="Candara" w:hAnsi="Candara"/>
          <w:sz w:val="22"/>
          <w:szCs w:val="22"/>
        </w:rPr>
      </w:pPr>
      <w:r w:rsidRPr="0099513B">
        <w:rPr>
          <w:rFonts w:ascii="Candara" w:hAnsi="Candara"/>
          <w:sz w:val="22"/>
          <w:szCs w:val="22"/>
        </w:rPr>
        <w:t xml:space="preserve">As amortizações dos ativos intangíveis são calculadas numa base sistemática segundo o método da linha reta, em sistema de duodécimos. As vidas úteis foram determinadas de acordo com a expectativa da afetação do desempenho dos ativos. </w:t>
      </w:r>
    </w:p>
    <w:p w:rsidR="000728E2" w:rsidRPr="0099513B" w:rsidRDefault="000728E2" w:rsidP="00304037">
      <w:pPr>
        <w:autoSpaceDE w:val="0"/>
        <w:autoSpaceDN w:val="0"/>
        <w:adjustRightInd w:val="0"/>
        <w:jc w:val="both"/>
        <w:rPr>
          <w:rFonts w:ascii="Candara" w:hAnsi="Candara" w:cs="TimesNewRomanPS-ItalicMT"/>
          <w:b/>
          <w:i/>
          <w:iCs/>
          <w:sz w:val="22"/>
          <w:szCs w:val="22"/>
        </w:rPr>
      </w:pPr>
    </w:p>
    <w:p w:rsidR="0099513B" w:rsidRDefault="0099513B" w:rsidP="00304037">
      <w:pPr>
        <w:autoSpaceDE w:val="0"/>
        <w:autoSpaceDN w:val="0"/>
        <w:adjustRightInd w:val="0"/>
        <w:jc w:val="both"/>
        <w:rPr>
          <w:rFonts w:ascii="Candara" w:hAnsi="Candara" w:cs="TimesNewRomanPS-ItalicMT"/>
          <w:b/>
          <w:i/>
          <w:iCs/>
          <w:sz w:val="22"/>
          <w:szCs w:val="22"/>
          <w:highlight w:val="yellow"/>
        </w:rPr>
      </w:pPr>
    </w:p>
    <w:p w:rsidR="00076290" w:rsidRPr="00A440C7" w:rsidRDefault="00A440C7" w:rsidP="00076290">
      <w:pPr>
        <w:numPr>
          <w:ilvl w:val="0"/>
          <w:numId w:val="6"/>
        </w:numPr>
        <w:spacing w:line="276" w:lineRule="auto"/>
        <w:ind w:left="284" w:hanging="284"/>
        <w:jc w:val="both"/>
        <w:rPr>
          <w:rFonts w:ascii="Candara" w:hAnsi="Candara"/>
          <w:b/>
          <w:i/>
          <w:sz w:val="22"/>
          <w:szCs w:val="22"/>
        </w:rPr>
      </w:pPr>
      <w:r w:rsidRPr="00A440C7">
        <w:rPr>
          <w:rFonts w:ascii="Candara" w:hAnsi="Candara"/>
          <w:b/>
          <w:i/>
          <w:sz w:val="22"/>
          <w:szCs w:val="22"/>
        </w:rPr>
        <w:t>R</w:t>
      </w:r>
      <w:r w:rsidR="00076290" w:rsidRPr="00A440C7">
        <w:rPr>
          <w:rFonts w:ascii="Candara" w:hAnsi="Candara"/>
          <w:b/>
          <w:i/>
          <w:sz w:val="22"/>
          <w:szCs w:val="22"/>
        </w:rPr>
        <w:t xml:space="preserve">econciliação da quantia escriturada no </w:t>
      </w:r>
      <w:r w:rsidR="00DF0B39">
        <w:rPr>
          <w:rFonts w:ascii="Candara" w:hAnsi="Candara"/>
          <w:b/>
          <w:i/>
          <w:sz w:val="22"/>
          <w:szCs w:val="22"/>
        </w:rPr>
        <w:t>início</w:t>
      </w:r>
      <w:r w:rsidR="00076290" w:rsidRPr="00A440C7">
        <w:rPr>
          <w:rFonts w:ascii="Candara" w:hAnsi="Candara"/>
          <w:b/>
          <w:i/>
          <w:sz w:val="22"/>
          <w:szCs w:val="22"/>
        </w:rPr>
        <w:t xml:space="preserve"> e fim do período que mostre as adições, as </w:t>
      </w:r>
      <w:r w:rsidRPr="00A440C7">
        <w:rPr>
          <w:rFonts w:ascii="Candara" w:hAnsi="Candara"/>
          <w:b/>
          <w:i/>
          <w:sz w:val="22"/>
          <w:szCs w:val="22"/>
        </w:rPr>
        <w:t xml:space="preserve">revalorizações, as </w:t>
      </w:r>
      <w:r w:rsidR="00076290" w:rsidRPr="00A440C7">
        <w:rPr>
          <w:rFonts w:ascii="Candara" w:hAnsi="Candara"/>
          <w:b/>
          <w:i/>
          <w:sz w:val="22"/>
          <w:szCs w:val="22"/>
        </w:rPr>
        <w:t xml:space="preserve">alienações, as amortizações, as perdas </w:t>
      </w:r>
      <w:r w:rsidRPr="00A440C7">
        <w:rPr>
          <w:rFonts w:ascii="Candara" w:hAnsi="Candara"/>
          <w:b/>
          <w:i/>
          <w:sz w:val="22"/>
          <w:szCs w:val="22"/>
        </w:rPr>
        <w:t>de</w:t>
      </w:r>
      <w:r w:rsidR="00076290" w:rsidRPr="00A440C7">
        <w:rPr>
          <w:rFonts w:ascii="Candara" w:hAnsi="Candara"/>
          <w:b/>
          <w:i/>
          <w:sz w:val="22"/>
          <w:szCs w:val="22"/>
        </w:rPr>
        <w:t xml:space="preserve"> imparidade e </w:t>
      </w:r>
      <w:r w:rsidRPr="00A440C7">
        <w:rPr>
          <w:rFonts w:ascii="Candara" w:hAnsi="Candara"/>
          <w:b/>
          <w:i/>
          <w:sz w:val="22"/>
          <w:szCs w:val="22"/>
        </w:rPr>
        <w:t xml:space="preserve">suas reversões e </w:t>
      </w:r>
      <w:r w:rsidR="00076290" w:rsidRPr="00A440C7">
        <w:rPr>
          <w:rFonts w:ascii="Candara" w:hAnsi="Candara"/>
          <w:b/>
          <w:i/>
          <w:sz w:val="22"/>
          <w:szCs w:val="22"/>
        </w:rPr>
        <w:t>outras alterações.</w:t>
      </w:r>
    </w:p>
    <w:p w:rsidR="000728E2" w:rsidRPr="00A440C7" w:rsidRDefault="000728E2" w:rsidP="00304037">
      <w:pPr>
        <w:autoSpaceDE w:val="0"/>
        <w:autoSpaceDN w:val="0"/>
        <w:adjustRightInd w:val="0"/>
        <w:ind w:left="284"/>
        <w:jc w:val="both"/>
        <w:rPr>
          <w:rFonts w:ascii="Candara" w:hAnsi="Candara" w:cs="TimesNewRomanPSMT"/>
          <w:b/>
          <w:i/>
          <w:sz w:val="22"/>
          <w:szCs w:val="22"/>
        </w:rPr>
      </w:pPr>
    </w:p>
    <w:p w:rsidR="007E6A45" w:rsidRDefault="007E6A45" w:rsidP="00A440C7">
      <w:pPr>
        <w:autoSpaceDE w:val="0"/>
        <w:autoSpaceDN w:val="0"/>
        <w:adjustRightInd w:val="0"/>
        <w:ind w:left="284"/>
        <w:jc w:val="both"/>
        <w:rPr>
          <w:szCs w:val="22"/>
        </w:rPr>
      </w:pPr>
    </w:p>
    <w:p w:rsidR="00094930" w:rsidRPr="00A440C7" w:rsidRDefault="00094930" w:rsidP="00A440C7">
      <w:pPr>
        <w:autoSpaceDE w:val="0"/>
        <w:autoSpaceDN w:val="0"/>
        <w:adjustRightInd w:val="0"/>
        <w:ind w:left="284"/>
        <w:jc w:val="both"/>
        <w:rPr>
          <w:rFonts w:ascii="Candara" w:hAnsi="Candara" w:cs="TimesNewRomanPS-ItalicMT"/>
          <w:b/>
          <w:i/>
          <w:iCs/>
          <w:sz w:val="22"/>
          <w:szCs w:val="22"/>
        </w:rPr>
      </w:pPr>
    </w:p>
    <w:bookmarkStart w:id="11" w:name="_MON_1394891362"/>
    <w:bookmarkEnd w:id="11"/>
    <w:p w:rsidR="000728E2" w:rsidRPr="00A440C7" w:rsidRDefault="002620AE" w:rsidP="00304037">
      <w:pPr>
        <w:autoSpaceDE w:val="0"/>
        <w:autoSpaceDN w:val="0"/>
        <w:adjustRightInd w:val="0"/>
        <w:ind w:firstLine="284"/>
        <w:jc w:val="both"/>
        <w:rPr>
          <w:rFonts w:ascii="Candara" w:hAnsi="Candara"/>
          <w:sz w:val="22"/>
          <w:szCs w:val="22"/>
        </w:rPr>
      </w:pPr>
      <w:r w:rsidRPr="009F64A4">
        <w:rPr>
          <w:rFonts w:ascii="Candara" w:hAnsi="Candara"/>
          <w:sz w:val="22"/>
          <w:szCs w:val="22"/>
        </w:rPr>
        <w:object w:dxaOrig="12885" w:dyaOrig="1995">
          <v:shape id="_x0000_i1028" type="#_x0000_t75" style="width:453pt;height:79.5pt" o:ole="">
            <v:imagedata r:id="rId14" o:title=""/>
          </v:shape>
          <o:OLEObject Type="Embed" ProgID="Excel.Sheet.8" ShapeID="_x0000_i1028" DrawAspect="Content" ObjectID="_1550245059" r:id="rId15"/>
        </w:object>
      </w:r>
    </w:p>
    <w:p w:rsidR="00605CBD" w:rsidRPr="00A440C7" w:rsidRDefault="00605CBD" w:rsidP="00304037">
      <w:pPr>
        <w:autoSpaceDE w:val="0"/>
        <w:autoSpaceDN w:val="0"/>
        <w:adjustRightInd w:val="0"/>
        <w:ind w:firstLine="284"/>
        <w:jc w:val="both"/>
        <w:rPr>
          <w:rFonts w:ascii="Candara" w:hAnsi="Candara"/>
          <w:sz w:val="22"/>
          <w:szCs w:val="22"/>
        </w:rPr>
      </w:pPr>
    </w:p>
    <w:p w:rsidR="00C6737D" w:rsidRPr="00A440C7" w:rsidRDefault="00A440C7" w:rsidP="00304037">
      <w:pPr>
        <w:spacing w:line="360" w:lineRule="atLeast"/>
        <w:jc w:val="both"/>
        <w:rPr>
          <w:rFonts w:ascii="Candara" w:hAnsi="Candara"/>
          <w:b/>
          <w:i/>
          <w:sz w:val="22"/>
          <w:szCs w:val="22"/>
        </w:rPr>
      </w:pPr>
      <w:r w:rsidRPr="00A440C7">
        <w:rPr>
          <w:rFonts w:ascii="Candara" w:hAnsi="Candara"/>
          <w:b/>
          <w:i/>
          <w:sz w:val="22"/>
          <w:szCs w:val="22"/>
        </w:rPr>
        <w:t>5</w:t>
      </w:r>
      <w:r w:rsidR="00C6737D" w:rsidRPr="00A440C7">
        <w:rPr>
          <w:rFonts w:ascii="Candara" w:hAnsi="Candara"/>
          <w:b/>
          <w:i/>
          <w:sz w:val="22"/>
          <w:szCs w:val="22"/>
        </w:rPr>
        <w:t xml:space="preserve">.2 — </w:t>
      </w:r>
      <w:r w:rsidRPr="00A440C7">
        <w:rPr>
          <w:rFonts w:ascii="Candara" w:hAnsi="Candara" w:cs="TimesNewRomanPSMT"/>
          <w:b/>
          <w:i/>
          <w:sz w:val="22"/>
          <w:szCs w:val="22"/>
        </w:rPr>
        <w:t>Divulgações sobre restrições, garantias e compromissos</w:t>
      </w:r>
      <w:r w:rsidR="00C6737D" w:rsidRPr="00A440C7">
        <w:rPr>
          <w:rFonts w:ascii="Candara" w:hAnsi="Candara"/>
          <w:b/>
          <w:i/>
          <w:sz w:val="22"/>
          <w:szCs w:val="22"/>
        </w:rPr>
        <w:t>:</w:t>
      </w:r>
    </w:p>
    <w:p w:rsidR="000728E2" w:rsidRPr="00C26B1F" w:rsidRDefault="000728E2" w:rsidP="00304037">
      <w:pPr>
        <w:autoSpaceDE w:val="0"/>
        <w:autoSpaceDN w:val="0"/>
        <w:adjustRightInd w:val="0"/>
        <w:jc w:val="both"/>
        <w:rPr>
          <w:rFonts w:ascii="Candara" w:hAnsi="Candara" w:cs="TimesNewRomanPS-ItalicMT"/>
          <w:b/>
          <w:i/>
          <w:iCs/>
          <w:sz w:val="22"/>
          <w:szCs w:val="22"/>
          <w:highlight w:val="yellow"/>
        </w:rPr>
      </w:pPr>
    </w:p>
    <w:p w:rsidR="00C6737D" w:rsidRPr="007240CE" w:rsidRDefault="00A440C7" w:rsidP="00304037">
      <w:pPr>
        <w:numPr>
          <w:ilvl w:val="0"/>
          <w:numId w:val="7"/>
        </w:numPr>
        <w:spacing w:line="276" w:lineRule="auto"/>
        <w:ind w:left="284" w:hanging="284"/>
        <w:jc w:val="both"/>
        <w:rPr>
          <w:rFonts w:ascii="Candara" w:hAnsi="Candara"/>
          <w:b/>
          <w:i/>
          <w:sz w:val="22"/>
          <w:szCs w:val="22"/>
        </w:rPr>
      </w:pPr>
      <w:r w:rsidRPr="007240CE">
        <w:rPr>
          <w:rFonts w:ascii="Candara" w:hAnsi="Candara"/>
          <w:b/>
          <w:i/>
          <w:sz w:val="22"/>
          <w:szCs w:val="22"/>
        </w:rPr>
        <w:t>E</w:t>
      </w:r>
      <w:r w:rsidR="00C6737D" w:rsidRPr="007240CE">
        <w:rPr>
          <w:rFonts w:ascii="Candara" w:hAnsi="Candara"/>
          <w:b/>
          <w:i/>
          <w:sz w:val="22"/>
          <w:szCs w:val="22"/>
        </w:rPr>
        <w:t xml:space="preserve">xistência e quantias </w:t>
      </w:r>
      <w:r w:rsidR="007240CE" w:rsidRPr="007240CE">
        <w:rPr>
          <w:rFonts w:ascii="Candara" w:hAnsi="Candara"/>
          <w:b/>
          <w:i/>
          <w:sz w:val="22"/>
          <w:szCs w:val="22"/>
        </w:rPr>
        <w:t>de restrições de titularidade de ativos intangíveis que sejam dados como garantia de passivos</w:t>
      </w:r>
      <w:r w:rsidR="00C6737D" w:rsidRPr="007240CE">
        <w:rPr>
          <w:rFonts w:ascii="Candara" w:hAnsi="Candara"/>
          <w:b/>
          <w:i/>
          <w:sz w:val="22"/>
          <w:szCs w:val="22"/>
        </w:rPr>
        <w:t>;</w:t>
      </w:r>
    </w:p>
    <w:p w:rsidR="00DE6849" w:rsidRPr="007240CE" w:rsidRDefault="00DE6849" w:rsidP="00304037">
      <w:pPr>
        <w:spacing w:line="360" w:lineRule="atLeast"/>
        <w:ind w:left="284"/>
        <w:jc w:val="both"/>
        <w:rPr>
          <w:rFonts w:ascii="Candara" w:hAnsi="Candara"/>
          <w:sz w:val="22"/>
          <w:szCs w:val="22"/>
        </w:rPr>
      </w:pPr>
      <w:r w:rsidRPr="007240CE">
        <w:rPr>
          <w:rFonts w:ascii="Candara" w:hAnsi="Candara"/>
          <w:sz w:val="22"/>
          <w:szCs w:val="22"/>
        </w:rPr>
        <w:t>Não existem quaisquer restrições à titularidade de ativos intangíveis da Instituição, nem ativos intangíveis dados como garantia de passivos.</w:t>
      </w:r>
    </w:p>
    <w:p w:rsidR="00094930" w:rsidRDefault="00094930" w:rsidP="00304037">
      <w:pPr>
        <w:autoSpaceDE w:val="0"/>
        <w:autoSpaceDN w:val="0"/>
        <w:adjustRightInd w:val="0"/>
        <w:jc w:val="both"/>
        <w:rPr>
          <w:rFonts w:ascii="Candara" w:hAnsi="Candara" w:cs="TimesNewRomanPSMT"/>
          <w:b/>
          <w:sz w:val="24"/>
          <w:szCs w:val="22"/>
          <w:highlight w:val="yellow"/>
        </w:rPr>
      </w:pPr>
    </w:p>
    <w:p w:rsidR="002620AE" w:rsidRDefault="002620AE" w:rsidP="00304037">
      <w:pPr>
        <w:autoSpaceDE w:val="0"/>
        <w:autoSpaceDN w:val="0"/>
        <w:adjustRightInd w:val="0"/>
        <w:jc w:val="both"/>
        <w:rPr>
          <w:rFonts w:ascii="Candara" w:hAnsi="Candara" w:cs="TimesNewRomanPSMT"/>
          <w:b/>
          <w:sz w:val="24"/>
          <w:szCs w:val="22"/>
          <w:highlight w:val="yellow"/>
        </w:rPr>
      </w:pPr>
    </w:p>
    <w:p w:rsidR="00BA54DA" w:rsidRDefault="00BA54DA" w:rsidP="00304037">
      <w:pPr>
        <w:autoSpaceDE w:val="0"/>
        <w:autoSpaceDN w:val="0"/>
        <w:adjustRightInd w:val="0"/>
        <w:jc w:val="both"/>
        <w:rPr>
          <w:rFonts w:ascii="Candara" w:hAnsi="Candara" w:cs="TimesNewRomanPSMT"/>
          <w:b/>
          <w:sz w:val="24"/>
          <w:szCs w:val="22"/>
          <w:highlight w:val="yellow"/>
        </w:rPr>
      </w:pPr>
    </w:p>
    <w:p w:rsidR="002620AE" w:rsidRPr="00C26B1F" w:rsidRDefault="002620AE" w:rsidP="00304037">
      <w:pPr>
        <w:autoSpaceDE w:val="0"/>
        <w:autoSpaceDN w:val="0"/>
        <w:adjustRightInd w:val="0"/>
        <w:jc w:val="both"/>
        <w:rPr>
          <w:rFonts w:ascii="Candara" w:hAnsi="Candara" w:cs="TimesNewRomanPS-ItalicMT"/>
          <w:b/>
          <w:i/>
          <w:iCs/>
          <w:sz w:val="22"/>
          <w:szCs w:val="22"/>
          <w:highlight w:val="yellow"/>
        </w:rPr>
      </w:pPr>
    </w:p>
    <w:p w:rsidR="000728E2" w:rsidRPr="00BE521C" w:rsidRDefault="00292C7F" w:rsidP="00304037">
      <w:pPr>
        <w:numPr>
          <w:ilvl w:val="0"/>
          <w:numId w:val="2"/>
        </w:numPr>
        <w:spacing w:line="360" w:lineRule="atLeast"/>
        <w:ind w:left="284" w:hanging="284"/>
        <w:jc w:val="both"/>
        <w:rPr>
          <w:rFonts w:ascii="Candara" w:hAnsi="Candara"/>
          <w:b/>
          <w:sz w:val="24"/>
          <w:szCs w:val="22"/>
        </w:rPr>
      </w:pPr>
      <w:r w:rsidRPr="00BE521C">
        <w:rPr>
          <w:rFonts w:ascii="Candara" w:hAnsi="Candara"/>
          <w:b/>
          <w:sz w:val="24"/>
          <w:szCs w:val="22"/>
        </w:rPr>
        <w:t>INVENTÁRIOS</w:t>
      </w:r>
    </w:p>
    <w:p w:rsidR="0047508A" w:rsidRPr="00BE521C" w:rsidRDefault="0047508A" w:rsidP="00304037">
      <w:pPr>
        <w:autoSpaceDE w:val="0"/>
        <w:autoSpaceDN w:val="0"/>
        <w:adjustRightInd w:val="0"/>
        <w:jc w:val="both"/>
        <w:rPr>
          <w:rFonts w:ascii="Candara" w:hAnsi="Candara" w:cs="TimesNewRomanPSMT"/>
          <w:b/>
          <w:sz w:val="22"/>
          <w:szCs w:val="22"/>
        </w:rPr>
      </w:pPr>
    </w:p>
    <w:p w:rsidR="000728E2" w:rsidRPr="00BE521C" w:rsidRDefault="002620AE" w:rsidP="00BE521C">
      <w:pPr>
        <w:spacing w:line="360" w:lineRule="atLeast"/>
        <w:jc w:val="both"/>
        <w:rPr>
          <w:rFonts w:ascii="Candara" w:hAnsi="Candara"/>
          <w:b/>
          <w:i/>
          <w:sz w:val="22"/>
          <w:szCs w:val="22"/>
        </w:rPr>
      </w:pPr>
      <w:r>
        <w:rPr>
          <w:rFonts w:ascii="Candara" w:hAnsi="Candara"/>
          <w:b/>
          <w:i/>
          <w:sz w:val="22"/>
          <w:szCs w:val="22"/>
        </w:rPr>
        <w:t>6</w:t>
      </w:r>
      <w:r w:rsidR="00BE521C" w:rsidRPr="00BE521C">
        <w:rPr>
          <w:rFonts w:ascii="Candara" w:hAnsi="Candara"/>
          <w:b/>
          <w:i/>
          <w:sz w:val="22"/>
          <w:szCs w:val="22"/>
        </w:rPr>
        <w:t>.1 — P</w:t>
      </w:r>
      <w:r w:rsidR="000728E2" w:rsidRPr="00BE521C">
        <w:rPr>
          <w:rFonts w:ascii="Candara" w:hAnsi="Candara"/>
          <w:b/>
          <w:i/>
          <w:sz w:val="22"/>
          <w:szCs w:val="22"/>
        </w:rPr>
        <w:t>olíticas contabilísticas adotadas na mensuração dos inventários, inclu</w:t>
      </w:r>
      <w:r w:rsidR="00BA2EC8">
        <w:rPr>
          <w:rFonts w:ascii="Candara" w:hAnsi="Candara"/>
          <w:b/>
          <w:i/>
          <w:sz w:val="22"/>
          <w:szCs w:val="22"/>
        </w:rPr>
        <w:t>indo a fórmula de custeio usada:</w:t>
      </w:r>
    </w:p>
    <w:p w:rsidR="0067154F" w:rsidRPr="00BE521C" w:rsidRDefault="0067154F" w:rsidP="00BE521C">
      <w:pPr>
        <w:spacing w:line="360" w:lineRule="atLeast"/>
        <w:jc w:val="both"/>
        <w:rPr>
          <w:rFonts w:ascii="Candara" w:hAnsi="Candara"/>
          <w:sz w:val="22"/>
          <w:szCs w:val="22"/>
        </w:rPr>
      </w:pPr>
      <w:r w:rsidRPr="00BE521C">
        <w:rPr>
          <w:rFonts w:ascii="Candara" w:hAnsi="Candara"/>
          <w:sz w:val="22"/>
          <w:szCs w:val="22"/>
        </w:rPr>
        <w:t>Os inventários de mercadorias e</w:t>
      </w:r>
      <w:r w:rsidR="006C51CD" w:rsidRPr="00BE521C">
        <w:rPr>
          <w:rFonts w:ascii="Candara" w:hAnsi="Candara"/>
          <w:sz w:val="22"/>
          <w:szCs w:val="22"/>
        </w:rPr>
        <w:t xml:space="preserve"> de</w:t>
      </w:r>
      <w:r w:rsidRPr="00BE521C">
        <w:rPr>
          <w:rFonts w:ascii="Candara" w:hAnsi="Candara"/>
          <w:sz w:val="22"/>
          <w:szCs w:val="22"/>
        </w:rPr>
        <w:t xml:space="preserve"> matérias-primas, subsidiárias e de consumo são valorizados ao menor entre o seu custo de aquisição</w:t>
      </w:r>
      <w:r w:rsidR="006C51CD" w:rsidRPr="00BE521C">
        <w:rPr>
          <w:rFonts w:ascii="Candara" w:hAnsi="Candara"/>
          <w:sz w:val="22"/>
          <w:szCs w:val="22"/>
        </w:rPr>
        <w:t xml:space="preserve"> e o valor realizável líquido</w:t>
      </w:r>
      <w:r w:rsidRPr="00BE521C">
        <w:rPr>
          <w:rFonts w:ascii="Candara" w:hAnsi="Candara"/>
          <w:sz w:val="22"/>
          <w:szCs w:val="22"/>
        </w:rPr>
        <w:t xml:space="preserve">. O custo dos inventários inclui todos os custos de compra, custos de conversão e outros incorridos para colocar os inventários no seu local e na sua condição atual, utilizando-se o </w:t>
      </w:r>
      <w:r w:rsidR="007F27A1" w:rsidRPr="00BE521C">
        <w:rPr>
          <w:rFonts w:ascii="Candara" w:hAnsi="Candara"/>
          <w:sz w:val="22"/>
          <w:szCs w:val="22"/>
        </w:rPr>
        <w:t>FIFO</w:t>
      </w:r>
      <w:r w:rsidRPr="00BE521C">
        <w:rPr>
          <w:rFonts w:ascii="Candara" w:hAnsi="Candara"/>
          <w:sz w:val="22"/>
          <w:szCs w:val="22"/>
        </w:rPr>
        <w:t xml:space="preserve"> como fórmula de custeio e o Sistema de inventário </w:t>
      </w:r>
      <w:r w:rsidR="007F27A1" w:rsidRPr="00BE521C">
        <w:rPr>
          <w:rFonts w:ascii="Candara" w:hAnsi="Candara"/>
          <w:sz w:val="22"/>
          <w:szCs w:val="22"/>
        </w:rPr>
        <w:t>intermitente.</w:t>
      </w:r>
    </w:p>
    <w:p w:rsidR="0047508A" w:rsidRPr="00C26B1F" w:rsidRDefault="0047508A" w:rsidP="00304037">
      <w:pPr>
        <w:autoSpaceDE w:val="0"/>
        <w:autoSpaceDN w:val="0"/>
        <w:adjustRightInd w:val="0"/>
        <w:jc w:val="both"/>
        <w:rPr>
          <w:rFonts w:ascii="Candara" w:hAnsi="Candara" w:cs="TimesNewRomanPSMT"/>
          <w:b/>
          <w:i/>
          <w:sz w:val="22"/>
          <w:szCs w:val="22"/>
          <w:highlight w:val="yellow"/>
        </w:rPr>
      </w:pPr>
    </w:p>
    <w:p w:rsidR="000728E2" w:rsidRPr="00BE521C" w:rsidRDefault="00BF16C7" w:rsidP="00BE521C">
      <w:pPr>
        <w:spacing w:line="360" w:lineRule="atLeast"/>
        <w:jc w:val="both"/>
        <w:rPr>
          <w:rFonts w:ascii="Candara" w:hAnsi="Candara"/>
          <w:b/>
          <w:i/>
          <w:sz w:val="22"/>
          <w:szCs w:val="22"/>
        </w:rPr>
      </w:pPr>
      <w:r>
        <w:rPr>
          <w:rFonts w:ascii="Candara" w:hAnsi="Candara"/>
          <w:b/>
          <w:i/>
          <w:sz w:val="22"/>
          <w:szCs w:val="22"/>
        </w:rPr>
        <w:t>6</w:t>
      </w:r>
      <w:r w:rsidR="00BE521C">
        <w:rPr>
          <w:rFonts w:ascii="Candara" w:hAnsi="Candara"/>
          <w:b/>
          <w:i/>
          <w:sz w:val="22"/>
          <w:szCs w:val="22"/>
        </w:rPr>
        <w:t>.2 - Q</w:t>
      </w:r>
      <w:r w:rsidR="000728E2" w:rsidRPr="00BE521C">
        <w:rPr>
          <w:rFonts w:ascii="Candara" w:hAnsi="Candara"/>
          <w:b/>
          <w:i/>
          <w:sz w:val="22"/>
          <w:szCs w:val="22"/>
        </w:rPr>
        <w:t>uantia total escriturada de inventários e quantia escriturada em classificaç</w:t>
      </w:r>
      <w:r w:rsidR="00BA2EC8">
        <w:rPr>
          <w:rFonts w:ascii="Candara" w:hAnsi="Candara"/>
          <w:b/>
          <w:i/>
          <w:sz w:val="22"/>
          <w:szCs w:val="22"/>
        </w:rPr>
        <w:t>ões apropriadas para a entidade:</w:t>
      </w:r>
    </w:p>
    <w:p w:rsidR="006C51CD" w:rsidRPr="00C26B1F" w:rsidRDefault="006C51CD" w:rsidP="00304037">
      <w:pPr>
        <w:spacing w:line="276" w:lineRule="auto"/>
        <w:ind w:left="284"/>
        <w:jc w:val="both"/>
        <w:rPr>
          <w:rFonts w:ascii="Candara" w:hAnsi="Candara"/>
          <w:b/>
          <w:i/>
          <w:sz w:val="22"/>
          <w:szCs w:val="22"/>
          <w:highlight w:val="yellow"/>
        </w:rPr>
      </w:pPr>
    </w:p>
    <w:bookmarkStart w:id="12" w:name="_MON_1394894985"/>
    <w:bookmarkEnd w:id="12"/>
    <w:p w:rsidR="0047508A" w:rsidRDefault="0029703C" w:rsidP="00CD4251">
      <w:pPr>
        <w:spacing w:line="276" w:lineRule="auto"/>
        <w:ind w:left="284" w:hanging="284"/>
        <w:jc w:val="both"/>
        <w:rPr>
          <w:szCs w:val="22"/>
          <w:highlight w:val="yellow"/>
        </w:rPr>
      </w:pPr>
      <w:r w:rsidRPr="009F64A4">
        <w:rPr>
          <w:szCs w:val="22"/>
        </w:rPr>
        <w:object w:dxaOrig="12510" w:dyaOrig="1680">
          <v:shape id="_x0000_i1029" type="#_x0000_t75" style="width:471.75pt;height:81pt" o:ole="">
            <v:imagedata r:id="rId16" o:title=""/>
          </v:shape>
          <o:OLEObject Type="Embed" ProgID="Excel.Sheet.8" ShapeID="_x0000_i1029" DrawAspect="Content" ObjectID="_1550245060" r:id="rId17"/>
        </w:object>
      </w:r>
    </w:p>
    <w:bookmarkStart w:id="13" w:name="_MON_1547888720"/>
    <w:bookmarkEnd w:id="13"/>
    <w:p w:rsidR="00BA2EC8" w:rsidRDefault="009D64FB" w:rsidP="00CD4251">
      <w:pPr>
        <w:spacing w:line="276" w:lineRule="auto"/>
        <w:ind w:left="284" w:hanging="284"/>
        <w:jc w:val="both"/>
        <w:rPr>
          <w:rFonts w:ascii="Candara" w:hAnsi="Candara"/>
          <w:sz w:val="22"/>
          <w:szCs w:val="22"/>
        </w:rPr>
      </w:pPr>
      <w:r w:rsidRPr="00094930">
        <w:rPr>
          <w:rFonts w:ascii="Candara" w:hAnsi="Candara"/>
          <w:sz w:val="22"/>
          <w:szCs w:val="22"/>
        </w:rPr>
        <w:object w:dxaOrig="10455" w:dyaOrig="2085">
          <v:shape id="_x0000_i1030" type="#_x0000_t75" style="width:471.75pt;height:95.25pt" o:ole="">
            <v:imagedata r:id="rId18" o:title=""/>
          </v:shape>
          <o:OLEObject Type="Embed" ProgID="Excel.Sheet.8" ShapeID="_x0000_i1030" DrawAspect="Content" ObjectID="_1550245061" r:id="rId19"/>
        </w:object>
      </w:r>
    </w:p>
    <w:p w:rsidR="00BF16C7" w:rsidRDefault="00BF16C7" w:rsidP="00304037">
      <w:pPr>
        <w:autoSpaceDE w:val="0"/>
        <w:autoSpaceDN w:val="0"/>
        <w:adjustRightInd w:val="0"/>
        <w:jc w:val="both"/>
        <w:rPr>
          <w:rFonts w:ascii="Candara" w:hAnsi="Candara" w:cs="TimesNewRomanPSMT"/>
          <w:b/>
          <w:sz w:val="22"/>
          <w:szCs w:val="22"/>
        </w:rPr>
      </w:pPr>
    </w:p>
    <w:p w:rsidR="00BF16C7" w:rsidRDefault="00BF16C7" w:rsidP="00304037">
      <w:pPr>
        <w:autoSpaceDE w:val="0"/>
        <w:autoSpaceDN w:val="0"/>
        <w:adjustRightInd w:val="0"/>
        <w:jc w:val="both"/>
        <w:rPr>
          <w:rFonts w:ascii="Candara" w:hAnsi="Candara" w:cs="TimesNewRomanPSMT"/>
          <w:b/>
          <w:sz w:val="22"/>
          <w:szCs w:val="22"/>
        </w:rPr>
      </w:pPr>
    </w:p>
    <w:p w:rsidR="000728E2" w:rsidRPr="00580374" w:rsidRDefault="00580374" w:rsidP="00304037">
      <w:pPr>
        <w:numPr>
          <w:ilvl w:val="0"/>
          <w:numId w:val="2"/>
        </w:numPr>
        <w:spacing w:line="360" w:lineRule="atLeast"/>
        <w:ind w:left="284" w:hanging="284"/>
        <w:jc w:val="both"/>
        <w:rPr>
          <w:rFonts w:ascii="Candara" w:hAnsi="Candara"/>
          <w:b/>
          <w:sz w:val="24"/>
          <w:szCs w:val="22"/>
        </w:rPr>
      </w:pPr>
      <w:r w:rsidRPr="00580374">
        <w:rPr>
          <w:rFonts w:ascii="Candara" w:hAnsi="Candara"/>
          <w:b/>
          <w:sz w:val="24"/>
          <w:szCs w:val="22"/>
        </w:rPr>
        <w:t>RENDIMENTOS E GASTOS</w:t>
      </w:r>
    </w:p>
    <w:p w:rsidR="004E65E0" w:rsidRPr="00580374" w:rsidRDefault="004E65E0" w:rsidP="00304037">
      <w:pPr>
        <w:autoSpaceDE w:val="0"/>
        <w:autoSpaceDN w:val="0"/>
        <w:adjustRightInd w:val="0"/>
        <w:jc w:val="both"/>
        <w:rPr>
          <w:rFonts w:ascii="Candara" w:hAnsi="Candara" w:cs="TimesNewRomanPSMT"/>
          <w:b/>
          <w:sz w:val="22"/>
          <w:szCs w:val="22"/>
        </w:rPr>
      </w:pPr>
    </w:p>
    <w:p w:rsidR="00580374" w:rsidRPr="00580374" w:rsidRDefault="00BF16C7" w:rsidP="00580374">
      <w:pPr>
        <w:spacing w:line="360" w:lineRule="atLeast"/>
        <w:jc w:val="both"/>
        <w:rPr>
          <w:rFonts w:ascii="Candara" w:hAnsi="Candara"/>
          <w:b/>
          <w:i/>
          <w:sz w:val="22"/>
          <w:szCs w:val="22"/>
        </w:rPr>
      </w:pPr>
      <w:r>
        <w:rPr>
          <w:rFonts w:ascii="Candara" w:hAnsi="Candara"/>
          <w:b/>
          <w:i/>
          <w:sz w:val="22"/>
          <w:szCs w:val="22"/>
        </w:rPr>
        <w:t>7</w:t>
      </w:r>
      <w:r w:rsidR="00580374" w:rsidRPr="00580374">
        <w:rPr>
          <w:rFonts w:ascii="Candara" w:hAnsi="Candara"/>
          <w:b/>
          <w:i/>
          <w:sz w:val="22"/>
          <w:szCs w:val="22"/>
        </w:rPr>
        <w:t>.1 — Políticas contabilísticas adotadas para o reconhecimento do rédito incluindo os métodos adotados para determinar a fase de acabamento de transações que envolvam a prestação de serviços.</w:t>
      </w:r>
    </w:p>
    <w:p w:rsidR="00BA54DA" w:rsidRDefault="00580374" w:rsidP="00580374">
      <w:pPr>
        <w:spacing w:line="360" w:lineRule="atLeast"/>
        <w:jc w:val="both"/>
        <w:rPr>
          <w:rFonts w:ascii="Candara" w:hAnsi="Candara"/>
          <w:b/>
          <w:i/>
          <w:sz w:val="22"/>
          <w:szCs w:val="22"/>
        </w:rPr>
      </w:pPr>
      <w:r w:rsidRPr="00580374">
        <w:rPr>
          <w:rFonts w:ascii="Candara" w:hAnsi="Candara"/>
          <w:sz w:val="22"/>
          <w:szCs w:val="22"/>
        </w:rPr>
        <w:t>O rédito encontra-se mensurado pelo justo valor da retribuição recebida ou a receber, a qual, em geral, é determinada entre a entidade e o comprador ou utente do ativo</w:t>
      </w:r>
    </w:p>
    <w:p w:rsidR="00BA54DA" w:rsidRDefault="00BA54DA" w:rsidP="00580374">
      <w:pPr>
        <w:spacing w:line="360" w:lineRule="atLeast"/>
        <w:jc w:val="both"/>
        <w:rPr>
          <w:rFonts w:ascii="Candara" w:hAnsi="Candara"/>
          <w:b/>
          <w:i/>
          <w:sz w:val="22"/>
          <w:szCs w:val="22"/>
        </w:rPr>
      </w:pPr>
    </w:p>
    <w:p w:rsidR="00BA54DA" w:rsidRPr="00580374" w:rsidRDefault="00BA54DA" w:rsidP="00580374">
      <w:pPr>
        <w:spacing w:line="360" w:lineRule="atLeast"/>
        <w:jc w:val="both"/>
        <w:rPr>
          <w:rFonts w:ascii="Candara" w:hAnsi="Candara"/>
          <w:b/>
          <w:i/>
          <w:sz w:val="22"/>
          <w:szCs w:val="22"/>
        </w:rPr>
      </w:pPr>
    </w:p>
    <w:p w:rsidR="004E65E0" w:rsidRPr="00BD58E1" w:rsidRDefault="00BF16C7" w:rsidP="00580374">
      <w:pPr>
        <w:spacing w:line="360" w:lineRule="atLeast"/>
        <w:jc w:val="both"/>
        <w:rPr>
          <w:rFonts w:ascii="Candara" w:hAnsi="Candara"/>
          <w:b/>
          <w:i/>
          <w:sz w:val="22"/>
          <w:szCs w:val="22"/>
        </w:rPr>
      </w:pPr>
      <w:r>
        <w:rPr>
          <w:rFonts w:ascii="Candara" w:hAnsi="Candara"/>
          <w:b/>
          <w:i/>
          <w:sz w:val="22"/>
          <w:szCs w:val="22"/>
        </w:rPr>
        <w:t>7</w:t>
      </w:r>
      <w:r w:rsidR="00580374" w:rsidRPr="00BD58E1">
        <w:rPr>
          <w:rFonts w:ascii="Candara" w:hAnsi="Candara"/>
          <w:b/>
          <w:i/>
          <w:sz w:val="22"/>
          <w:szCs w:val="22"/>
        </w:rPr>
        <w:t>.2 — Quantia e natureza de elementos isolados de rendimentos ou dos gastos cuja dimensão ou incidência sejam excecionais.</w:t>
      </w:r>
    </w:p>
    <w:p w:rsidR="0047508A" w:rsidRPr="00C26B1F" w:rsidRDefault="0047508A" w:rsidP="00304037">
      <w:pPr>
        <w:autoSpaceDE w:val="0"/>
        <w:autoSpaceDN w:val="0"/>
        <w:adjustRightInd w:val="0"/>
        <w:jc w:val="both"/>
        <w:rPr>
          <w:rFonts w:ascii="Candara" w:hAnsi="Candara" w:cs="TimesNewRomanPSMT"/>
          <w:b/>
          <w:sz w:val="22"/>
          <w:szCs w:val="22"/>
          <w:highlight w:val="yellow"/>
        </w:rPr>
      </w:pPr>
    </w:p>
    <w:bookmarkStart w:id="14" w:name="_MON_1391262186"/>
    <w:bookmarkEnd w:id="14"/>
    <w:p w:rsidR="00C51BF8" w:rsidRDefault="00C33078" w:rsidP="00304037">
      <w:pPr>
        <w:autoSpaceDE w:val="0"/>
        <w:autoSpaceDN w:val="0"/>
        <w:adjustRightInd w:val="0"/>
        <w:jc w:val="both"/>
        <w:rPr>
          <w:szCs w:val="22"/>
        </w:rPr>
      </w:pPr>
      <w:r w:rsidRPr="009F64A4">
        <w:rPr>
          <w:szCs w:val="22"/>
        </w:rPr>
        <w:object w:dxaOrig="8520" w:dyaOrig="1845">
          <v:shape id="_x0000_i1031" type="#_x0000_t75" style="width:436.5pt;height:96pt" o:ole="">
            <v:imagedata r:id="rId20" o:title=""/>
          </v:shape>
          <o:OLEObject Type="Embed" ProgID="Excel.Sheet.8" ShapeID="_x0000_i1031" DrawAspect="Content" ObjectID="_1550245062" r:id="rId21"/>
        </w:object>
      </w:r>
    </w:p>
    <w:p w:rsidR="00094930" w:rsidRDefault="00094930" w:rsidP="00304037">
      <w:pPr>
        <w:autoSpaceDE w:val="0"/>
        <w:autoSpaceDN w:val="0"/>
        <w:adjustRightInd w:val="0"/>
        <w:jc w:val="both"/>
        <w:rPr>
          <w:rFonts w:ascii="Candara" w:hAnsi="Candara" w:cs="TimesNewRomanPSMT"/>
          <w:b/>
          <w:i/>
          <w:sz w:val="22"/>
          <w:szCs w:val="22"/>
          <w:highlight w:val="yellow"/>
        </w:rPr>
      </w:pPr>
    </w:p>
    <w:p w:rsidR="00605CBD" w:rsidRDefault="00605CBD" w:rsidP="00605CBD">
      <w:pPr>
        <w:spacing w:line="360" w:lineRule="atLeast"/>
        <w:ind w:left="284"/>
        <w:jc w:val="both"/>
        <w:rPr>
          <w:rFonts w:ascii="Candara" w:hAnsi="Candara"/>
          <w:b/>
          <w:sz w:val="24"/>
          <w:szCs w:val="22"/>
        </w:rPr>
      </w:pPr>
    </w:p>
    <w:p w:rsidR="000728E2" w:rsidRPr="00C51BF8" w:rsidRDefault="004156F4" w:rsidP="00304037">
      <w:pPr>
        <w:numPr>
          <w:ilvl w:val="0"/>
          <w:numId w:val="2"/>
        </w:numPr>
        <w:spacing w:line="360" w:lineRule="atLeast"/>
        <w:ind w:left="284" w:hanging="284"/>
        <w:jc w:val="both"/>
        <w:rPr>
          <w:rFonts w:ascii="Candara" w:hAnsi="Candara"/>
          <w:b/>
          <w:sz w:val="24"/>
          <w:szCs w:val="22"/>
        </w:rPr>
      </w:pPr>
      <w:r w:rsidRPr="00C51BF8">
        <w:rPr>
          <w:rFonts w:ascii="Candara" w:hAnsi="Candara"/>
          <w:b/>
          <w:sz w:val="24"/>
          <w:szCs w:val="22"/>
        </w:rPr>
        <w:t>PROVISÕES, PASSIVOS CONTINGENTES E ATIVOS CONTINGENTES</w:t>
      </w:r>
    </w:p>
    <w:p w:rsidR="0047508A" w:rsidRPr="00C51BF8" w:rsidRDefault="0047508A" w:rsidP="00304037">
      <w:pPr>
        <w:autoSpaceDE w:val="0"/>
        <w:autoSpaceDN w:val="0"/>
        <w:adjustRightInd w:val="0"/>
        <w:jc w:val="both"/>
        <w:rPr>
          <w:rFonts w:ascii="Candara" w:hAnsi="Candara" w:cs="TimesNewRomanPSMT"/>
          <w:b/>
          <w:sz w:val="22"/>
          <w:szCs w:val="22"/>
        </w:rPr>
      </w:pPr>
    </w:p>
    <w:p w:rsidR="0017344F" w:rsidRPr="00C51BF8" w:rsidRDefault="00BF16C7" w:rsidP="0017344F">
      <w:pPr>
        <w:spacing w:line="360" w:lineRule="atLeast"/>
        <w:jc w:val="both"/>
        <w:rPr>
          <w:rFonts w:ascii="Candara" w:hAnsi="Candara"/>
          <w:b/>
          <w:i/>
          <w:sz w:val="22"/>
          <w:szCs w:val="22"/>
        </w:rPr>
      </w:pPr>
      <w:r>
        <w:rPr>
          <w:rFonts w:ascii="Candara" w:hAnsi="Candara"/>
          <w:b/>
          <w:i/>
          <w:sz w:val="22"/>
          <w:szCs w:val="22"/>
        </w:rPr>
        <w:t>8</w:t>
      </w:r>
      <w:r w:rsidR="0017344F" w:rsidRPr="00C51BF8">
        <w:rPr>
          <w:rFonts w:ascii="Candara" w:hAnsi="Candara"/>
          <w:b/>
          <w:i/>
          <w:sz w:val="22"/>
          <w:szCs w:val="22"/>
        </w:rPr>
        <w:t>.1 — Reconciliação, para cada classe de provisões, da quantia escriturada no início e no fim do período que mostre os aumentos, as reduções e as reversões.</w:t>
      </w:r>
    </w:p>
    <w:p w:rsidR="0017344F" w:rsidRPr="00C51BF8" w:rsidRDefault="009D64FB" w:rsidP="0017344F">
      <w:pPr>
        <w:spacing w:line="360" w:lineRule="atLeast"/>
        <w:jc w:val="both"/>
        <w:rPr>
          <w:rFonts w:ascii="Candara" w:hAnsi="Candara"/>
          <w:b/>
          <w:i/>
          <w:sz w:val="22"/>
          <w:szCs w:val="22"/>
        </w:rPr>
      </w:pPr>
      <w:r>
        <w:rPr>
          <w:rFonts w:ascii="Candara" w:hAnsi="Candara"/>
          <w:b/>
          <w:i/>
          <w:sz w:val="22"/>
          <w:szCs w:val="22"/>
        </w:rPr>
        <w:t>Sem movimento</w:t>
      </w:r>
    </w:p>
    <w:p w:rsidR="0017344F" w:rsidRPr="00094930" w:rsidRDefault="0017344F" w:rsidP="0017344F">
      <w:pPr>
        <w:spacing w:line="360" w:lineRule="atLeast"/>
        <w:jc w:val="both"/>
        <w:rPr>
          <w:rFonts w:ascii="Candara" w:hAnsi="Candara"/>
          <w:b/>
          <w:i/>
          <w:sz w:val="22"/>
          <w:szCs w:val="22"/>
        </w:rPr>
      </w:pPr>
    </w:p>
    <w:p w:rsidR="00605CBD" w:rsidRDefault="00605CBD" w:rsidP="0017344F">
      <w:pPr>
        <w:spacing w:line="360" w:lineRule="atLeast"/>
        <w:jc w:val="both"/>
        <w:rPr>
          <w:rFonts w:ascii="Candara" w:hAnsi="Candara"/>
          <w:b/>
          <w:i/>
          <w:sz w:val="22"/>
          <w:szCs w:val="22"/>
        </w:rPr>
      </w:pPr>
    </w:p>
    <w:p w:rsidR="0017344F" w:rsidRPr="003D195A" w:rsidRDefault="00BF16C7" w:rsidP="0017344F">
      <w:pPr>
        <w:spacing w:line="360" w:lineRule="atLeast"/>
        <w:jc w:val="both"/>
        <w:rPr>
          <w:rFonts w:ascii="Candara" w:hAnsi="Candara"/>
          <w:b/>
          <w:i/>
          <w:sz w:val="22"/>
          <w:szCs w:val="22"/>
        </w:rPr>
      </w:pPr>
      <w:r>
        <w:rPr>
          <w:rFonts w:ascii="Candara" w:hAnsi="Candara"/>
          <w:b/>
          <w:i/>
          <w:sz w:val="22"/>
          <w:szCs w:val="22"/>
        </w:rPr>
        <w:t>8</w:t>
      </w:r>
      <w:r w:rsidR="0017344F" w:rsidRPr="003D195A">
        <w:rPr>
          <w:rFonts w:ascii="Candara" w:hAnsi="Candara"/>
          <w:b/>
          <w:i/>
          <w:sz w:val="22"/>
          <w:szCs w:val="22"/>
        </w:rPr>
        <w:t>.2 — Breve descrição da natureza e quantia de cada classe de passivos contingentes à data do balanço.</w:t>
      </w:r>
    </w:p>
    <w:p w:rsidR="0017344F" w:rsidRPr="003D195A" w:rsidRDefault="009D64FB" w:rsidP="0017344F">
      <w:pPr>
        <w:spacing w:line="360" w:lineRule="atLeast"/>
        <w:jc w:val="both"/>
        <w:rPr>
          <w:rFonts w:ascii="Candara" w:hAnsi="Candara"/>
          <w:sz w:val="22"/>
          <w:szCs w:val="22"/>
        </w:rPr>
      </w:pPr>
      <w:r>
        <w:rPr>
          <w:rFonts w:ascii="Candara" w:hAnsi="Candara"/>
          <w:sz w:val="22"/>
          <w:szCs w:val="22"/>
        </w:rPr>
        <w:t>Sem movimento</w:t>
      </w:r>
      <w:r w:rsidR="0017344F" w:rsidRPr="00094930">
        <w:rPr>
          <w:rFonts w:ascii="Candara" w:hAnsi="Candara"/>
          <w:sz w:val="22"/>
          <w:szCs w:val="22"/>
        </w:rPr>
        <w:t>.</w:t>
      </w:r>
    </w:p>
    <w:p w:rsidR="00BF16C7" w:rsidRDefault="00BF16C7" w:rsidP="00304037">
      <w:pPr>
        <w:spacing w:line="360" w:lineRule="atLeast"/>
        <w:jc w:val="both"/>
        <w:rPr>
          <w:rFonts w:ascii="Candara" w:hAnsi="Candara"/>
          <w:sz w:val="22"/>
          <w:szCs w:val="22"/>
        </w:rPr>
      </w:pPr>
    </w:p>
    <w:p w:rsidR="00CD71AB" w:rsidRPr="009F64A4" w:rsidRDefault="00CD71AB" w:rsidP="00304037">
      <w:pPr>
        <w:spacing w:line="360" w:lineRule="atLeast"/>
        <w:jc w:val="both"/>
        <w:rPr>
          <w:rFonts w:ascii="Candara" w:hAnsi="Candara"/>
          <w:sz w:val="22"/>
          <w:szCs w:val="22"/>
        </w:rPr>
      </w:pPr>
    </w:p>
    <w:p w:rsidR="00517373" w:rsidRPr="006F4808" w:rsidRDefault="006111BA" w:rsidP="00304037">
      <w:pPr>
        <w:numPr>
          <w:ilvl w:val="0"/>
          <w:numId w:val="2"/>
        </w:numPr>
        <w:spacing w:line="360" w:lineRule="atLeast"/>
        <w:ind w:left="284" w:hanging="284"/>
        <w:jc w:val="both"/>
        <w:rPr>
          <w:rFonts w:ascii="Candara" w:hAnsi="Candara"/>
          <w:b/>
          <w:sz w:val="24"/>
          <w:szCs w:val="22"/>
        </w:rPr>
      </w:pPr>
      <w:r w:rsidRPr="006F4808">
        <w:rPr>
          <w:rFonts w:ascii="Candara" w:hAnsi="Candara"/>
          <w:b/>
          <w:sz w:val="24"/>
          <w:szCs w:val="22"/>
        </w:rPr>
        <w:t xml:space="preserve">SUBSÍDIOS </w:t>
      </w:r>
      <w:r w:rsidR="006F4808" w:rsidRPr="006F4808">
        <w:rPr>
          <w:rFonts w:ascii="Candara" w:hAnsi="Candara"/>
          <w:b/>
          <w:sz w:val="24"/>
          <w:szCs w:val="22"/>
        </w:rPr>
        <w:t>E OUTROS APOIOS DAS ENTIDADES PÚBLICAS</w:t>
      </w:r>
    </w:p>
    <w:p w:rsidR="00517373" w:rsidRPr="006F4808" w:rsidRDefault="00517373" w:rsidP="00304037">
      <w:pPr>
        <w:autoSpaceDE w:val="0"/>
        <w:autoSpaceDN w:val="0"/>
        <w:adjustRightInd w:val="0"/>
        <w:jc w:val="both"/>
        <w:rPr>
          <w:rFonts w:ascii="Candara" w:hAnsi="Candara" w:cs="TimesNewRomanPSMT"/>
          <w:b/>
          <w:sz w:val="22"/>
          <w:szCs w:val="22"/>
        </w:rPr>
      </w:pPr>
    </w:p>
    <w:p w:rsidR="001E4060" w:rsidRPr="00DB0A3A" w:rsidRDefault="00BF16C7" w:rsidP="00DB0A3A">
      <w:pPr>
        <w:spacing w:line="276" w:lineRule="auto"/>
        <w:jc w:val="both"/>
        <w:rPr>
          <w:rFonts w:ascii="Candara" w:hAnsi="Candara"/>
          <w:b/>
          <w:i/>
          <w:sz w:val="22"/>
          <w:szCs w:val="22"/>
        </w:rPr>
      </w:pPr>
      <w:r>
        <w:rPr>
          <w:rFonts w:ascii="Candara" w:hAnsi="Candara"/>
          <w:b/>
          <w:i/>
          <w:sz w:val="22"/>
          <w:szCs w:val="22"/>
        </w:rPr>
        <w:t>9</w:t>
      </w:r>
      <w:r w:rsidR="001E4060" w:rsidRPr="00DB0A3A">
        <w:rPr>
          <w:rFonts w:ascii="Candara" w:hAnsi="Candara"/>
          <w:b/>
          <w:i/>
          <w:sz w:val="22"/>
          <w:szCs w:val="22"/>
        </w:rPr>
        <w:t xml:space="preserve">. 1 — </w:t>
      </w:r>
      <w:r w:rsidR="00DB0A3A" w:rsidRPr="00DB0A3A">
        <w:rPr>
          <w:rFonts w:ascii="Candara" w:hAnsi="Candara"/>
          <w:b/>
          <w:i/>
          <w:sz w:val="22"/>
          <w:szCs w:val="22"/>
        </w:rPr>
        <w:t>Reconciliação da quantia escriturada no início e no fim do período que mostre os aumentos e as reduções dos subsídios das entidades públicas reconhecidos nos fundos patrimoniais</w:t>
      </w:r>
    </w:p>
    <w:p w:rsidR="00DB0A3A" w:rsidRDefault="009D64FB" w:rsidP="00DB0A3A">
      <w:pPr>
        <w:spacing w:line="360" w:lineRule="atLeast"/>
        <w:jc w:val="both"/>
        <w:rPr>
          <w:rFonts w:ascii="Candara" w:hAnsi="Candara"/>
          <w:sz w:val="22"/>
          <w:szCs w:val="22"/>
          <w:highlight w:val="yellow"/>
        </w:rPr>
      </w:pPr>
      <w:r>
        <w:rPr>
          <w:rFonts w:ascii="Candara" w:hAnsi="Candara"/>
          <w:sz w:val="22"/>
          <w:szCs w:val="22"/>
          <w:highlight w:val="yellow"/>
        </w:rPr>
        <w:lastRenderedPageBreak/>
        <w:t>Sem movimento</w:t>
      </w:r>
    </w:p>
    <w:p w:rsidR="00DB0A3A" w:rsidRDefault="00DB0A3A" w:rsidP="00DB0A3A">
      <w:pPr>
        <w:spacing w:line="360" w:lineRule="atLeast"/>
        <w:jc w:val="both"/>
        <w:rPr>
          <w:rFonts w:ascii="Candara" w:hAnsi="Candara"/>
          <w:sz w:val="22"/>
          <w:szCs w:val="22"/>
          <w:highlight w:val="yellow"/>
        </w:rPr>
      </w:pPr>
    </w:p>
    <w:p w:rsidR="00CC39CA" w:rsidRPr="001E4060" w:rsidRDefault="00981B0C" w:rsidP="001E4060">
      <w:pPr>
        <w:spacing w:line="276" w:lineRule="auto"/>
        <w:jc w:val="both"/>
        <w:rPr>
          <w:rFonts w:ascii="Candara" w:hAnsi="Candara"/>
          <w:b/>
          <w:i/>
          <w:sz w:val="22"/>
          <w:szCs w:val="22"/>
        </w:rPr>
      </w:pPr>
      <w:r>
        <w:rPr>
          <w:rFonts w:ascii="Candara" w:hAnsi="Candara"/>
          <w:b/>
          <w:i/>
          <w:sz w:val="22"/>
          <w:szCs w:val="22"/>
        </w:rPr>
        <w:t>9</w:t>
      </w:r>
      <w:r w:rsidR="001E4060">
        <w:rPr>
          <w:rFonts w:ascii="Candara" w:hAnsi="Candara"/>
          <w:b/>
          <w:i/>
          <w:sz w:val="22"/>
          <w:szCs w:val="22"/>
        </w:rPr>
        <w:t>. 2</w:t>
      </w:r>
      <w:r w:rsidR="001E4060" w:rsidRPr="003D195A">
        <w:rPr>
          <w:rFonts w:ascii="Candara" w:hAnsi="Candara"/>
          <w:b/>
          <w:i/>
          <w:sz w:val="22"/>
          <w:szCs w:val="22"/>
        </w:rPr>
        <w:t xml:space="preserve"> — </w:t>
      </w:r>
      <w:r w:rsidR="00CC39CA" w:rsidRPr="001E4060">
        <w:rPr>
          <w:rFonts w:ascii="Candara" w:hAnsi="Candara"/>
          <w:b/>
          <w:i/>
          <w:sz w:val="22"/>
          <w:szCs w:val="22"/>
        </w:rPr>
        <w:t>Benefícios sem valor atribuído, materialmente relevantes, obtidos de terceiras entidades;</w:t>
      </w:r>
    </w:p>
    <w:p w:rsidR="00575329" w:rsidRPr="001E4060" w:rsidRDefault="00575329" w:rsidP="001E4060">
      <w:pPr>
        <w:spacing w:line="360" w:lineRule="atLeast"/>
        <w:jc w:val="both"/>
        <w:rPr>
          <w:rFonts w:ascii="Candara" w:hAnsi="Candara"/>
          <w:sz w:val="22"/>
          <w:szCs w:val="22"/>
        </w:rPr>
      </w:pPr>
      <w:r w:rsidRPr="001E4060">
        <w:rPr>
          <w:rFonts w:ascii="Candara" w:hAnsi="Candara"/>
          <w:sz w:val="22"/>
          <w:szCs w:val="22"/>
        </w:rPr>
        <w:t xml:space="preserve">Não </w:t>
      </w:r>
      <w:r w:rsidR="00BF16C7">
        <w:rPr>
          <w:rFonts w:ascii="Candara" w:hAnsi="Candara"/>
          <w:sz w:val="22"/>
          <w:szCs w:val="22"/>
        </w:rPr>
        <w:t>foram obtidos benefícios sem valor atribuído.</w:t>
      </w:r>
    </w:p>
    <w:p w:rsidR="00CC39CA" w:rsidRDefault="00CC39CA" w:rsidP="00304037">
      <w:pPr>
        <w:spacing w:line="276" w:lineRule="auto"/>
        <w:ind w:left="284"/>
        <w:jc w:val="both"/>
        <w:rPr>
          <w:rFonts w:ascii="Candara" w:hAnsi="Candara"/>
          <w:b/>
          <w:i/>
          <w:sz w:val="22"/>
          <w:szCs w:val="22"/>
          <w:highlight w:val="yellow"/>
        </w:rPr>
      </w:pPr>
    </w:p>
    <w:p w:rsidR="00373D67" w:rsidRPr="00C26B1F" w:rsidRDefault="00373D67" w:rsidP="00304037">
      <w:pPr>
        <w:spacing w:line="276" w:lineRule="auto"/>
        <w:ind w:left="284"/>
        <w:jc w:val="both"/>
        <w:rPr>
          <w:rFonts w:ascii="Candara" w:hAnsi="Candara"/>
          <w:b/>
          <w:i/>
          <w:sz w:val="22"/>
          <w:szCs w:val="22"/>
          <w:highlight w:val="yellow"/>
        </w:rPr>
      </w:pPr>
    </w:p>
    <w:p w:rsidR="00CC39CA" w:rsidRPr="006F4808" w:rsidRDefault="00981B0C" w:rsidP="006F4808">
      <w:pPr>
        <w:spacing w:line="276" w:lineRule="auto"/>
        <w:jc w:val="both"/>
        <w:rPr>
          <w:rFonts w:ascii="Candara" w:hAnsi="Candara"/>
          <w:b/>
          <w:i/>
          <w:sz w:val="22"/>
          <w:szCs w:val="22"/>
        </w:rPr>
      </w:pPr>
      <w:r>
        <w:rPr>
          <w:rFonts w:ascii="Candara" w:hAnsi="Candara"/>
          <w:b/>
          <w:i/>
          <w:sz w:val="22"/>
          <w:szCs w:val="22"/>
        </w:rPr>
        <w:t>9</w:t>
      </w:r>
      <w:r w:rsidR="006F4808" w:rsidRPr="006F4808">
        <w:rPr>
          <w:rFonts w:ascii="Candara" w:hAnsi="Candara"/>
          <w:b/>
          <w:i/>
          <w:sz w:val="22"/>
          <w:szCs w:val="22"/>
        </w:rPr>
        <w:t xml:space="preserve">.3 — </w:t>
      </w:r>
      <w:r w:rsidR="00CC39CA" w:rsidRPr="006F4808">
        <w:rPr>
          <w:rFonts w:ascii="Candara" w:hAnsi="Candara"/>
          <w:b/>
          <w:i/>
          <w:sz w:val="22"/>
          <w:szCs w:val="22"/>
        </w:rPr>
        <w:t>Principais doadores/fontes de fundos.</w:t>
      </w:r>
    </w:p>
    <w:p w:rsidR="00A40469" w:rsidRPr="006F4808" w:rsidRDefault="00072E69" w:rsidP="006F4808">
      <w:pPr>
        <w:spacing w:line="360" w:lineRule="atLeast"/>
        <w:jc w:val="both"/>
        <w:rPr>
          <w:rFonts w:ascii="Candara" w:hAnsi="Candara"/>
          <w:sz w:val="22"/>
          <w:szCs w:val="22"/>
        </w:rPr>
      </w:pPr>
      <w:r w:rsidRPr="006F4808">
        <w:rPr>
          <w:rFonts w:ascii="Candara" w:hAnsi="Candara"/>
          <w:sz w:val="22"/>
          <w:szCs w:val="22"/>
        </w:rPr>
        <w:t xml:space="preserve">Os principais doadores de fundos foram </w:t>
      </w:r>
      <w:r w:rsidR="008F00A1" w:rsidRPr="006F4808">
        <w:rPr>
          <w:rFonts w:ascii="Candara" w:hAnsi="Candara"/>
          <w:sz w:val="22"/>
          <w:szCs w:val="22"/>
        </w:rPr>
        <w:t xml:space="preserve">as seguintes </w:t>
      </w:r>
      <w:r w:rsidRPr="006F4808">
        <w:rPr>
          <w:rFonts w:ascii="Candara" w:hAnsi="Candara"/>
          <w:sz w:val="22"/>
          <w:szCs w:val="22"/>
        </w:rPr>
        <w:t xml:space="preserve">entidades coletivas </w:t>
      </w:r>
      <w:r w:rsidR="008F00A1" w:rsidRPr="006F4808">
        <w:rPr>
          <w:rFonts w:ascii="Candara" w:hAnsi="Candara"/>
          <w:sz w:val="22"/>
          <w:szCs w:val="22"/>
        </w:rPr>
        <w:t>públicas:</w:t>
      </w:r>
    </w:p>
    <w:p w:rsidR="008F00A1" w:rsidRPr="006F4808" w:rsidRDefault="008F00A1" w:rsidP="00304037">
      <w:pPr>
        <w:numPr>
          <w:ilvl w:val="0"/>
          <w:numId w:val="13"/>
        </w:numPr>
        <w:spacing w:line="360" w:lineRule="atLeast"/>
        <w:jc w:val="both"/>
        <w:rPr>
          <w:rFonts w:ascii="Candara" w:hAnsi="Candara"/>
          <w:sz w:val="22"/>
          <w:szCs w:val="22"/>
        </w:rPr>
      </w:pPr>
      <w:r w:rsidRPr="006F4808">
        <w:rPr>
          <w:rFonts w:ascii="Candara" w:hAnsi="Candara"/>
          <w:sz w:val="22"/>
          <w:szCs w:val="22"/>
        </w:rPr>
        <w:t>Instituto da Segurança Social</w:t>
      </w:r>
      <w:r w:rsidR="009D64FB">
        <w:rPr>
          <w:rFonts w:ascii="Candara" w:hAnsi="Candara"/>
          <w:sz w:val="22"/>
          <w:szCs w:val="22"/>
        </w:rPr>
        <w:t xml:space="preserve"> (protocolos)</w:t>
      </w:r>
    </w:p>
    <w:p w:rsidR="00BF16C7" w:rsidRDefault="00BF16C7" w:rsidP="00304037">
      <w:pPr>
        <w:autoSpaceDE w:val="0"/>
        <w:autoSpaceDN w:val="0"/>
        <w:adjustRightInd w:val="0"/>
        <w:jc w:val="both"/>
        <w:rPr>
          <w:rFonts w:ascii="Candara" w:hAnsi="Candara" w:cs="TimesNewRomanPSMT"/>
          <w:b/>
          <w:sz w:val="22"/>
          <w:szCs w:val="22"/>
          <w:highlight w:val="yellow"/>
        </w:rPr>
      </w:pPr>
    </w:p>
    <w:p w:rsidR="00163F0B" w:rsidRPr="00C26B1F" w:rsidRDefault="00163F0B" w:rsidP="00304037">
      <w:pPr>
        <w:autoSpaceDE w:val="0"/>
        <w:autoSpaceDN w:val="0"/>
        <w:adjustRightInd w:val="0"/>
        <w:jc w:val="both"/>
        <w:rPr>
          <w:rFonts w:ascii="Candara" w:hAnsi="Candara" w:cs="TimesNewRomanPSMT"/>
          <w:b/>
          <w:sz w:val="22"/>
          <w:szCs w:val="22"/>
          <w:highlight w:val="yellow"/>
        </w:rPr>
      </w:pPr>
    </w:p>
    <w:p w:rsidR="00517373" w:rsidRPr="004F5AB2" w:rsidRDefault="00BB4A0A" w:rsidP="00304037">
      <w:pPr>
        <w:numPr>
          <w:ilvl w:val="0"/>
          <w:numId w:val="2"/>
        </w:numPr>
        <w:spacing w:line="360" w:lineRule="atLeast"/>
        <w:ind w:left="284" w:hanging="284"/>
        <w:jc w:val="both"/>
        <w:rPr>
          <w:rFonts w:ascii="Candara" w:hAnsi="Candara"/>
          <w:b/>
          <w:sz w:val="24"/>
          <w:szCs w:val="22"/>
        </w:rPr>
      </w:pPr>
      <w:r w:rsidRPr="004F5AB2">
        <w:rPr>
          <w:rFonts w:ascii="Candara" w:hAnsi="Candara"/>
          <w:b/>
          <w:sz w:val="24"/>
          <w:szCs w:val="22"/>
        </w:rPr>
        <w:t>INSTRUMENTOS FINANCEIROS</w:t>
      </w:r>
    </w:p>
    <w:p w:rsidR="00FF5BED" w:rsidRPr="00C26B1F" w:rsidRDefault="00FF5BED" w:rsidP="00304037">
      <w:pPr>
        <w:autoSpaceDE w:val="0"/>
        <w:autoSpaceDN w:val="0"/>
        <w:adjustRightInd w:val="0"/>
        <w:jc w:val="both"/>
        <w:rPr>
          <w:rFonts w:ascii="Candara" w:hAnsi="Candara" w:cs="TimesNewRomanPSMT"/>
          <w:b/>
          <w:sz w:val="22"/>
          <w:szCs w:val="22"/>
          <w:highlight w:val="yellow"/>
        </w:rPr>
      </w:pPr>
    </w:p>
    <w:p w:rsidR="00FF5BED" w:rsidRPr="002B1A71" w:rsidRDefault="00FF5BED" w:rsidP="00304037">
      <w:pPr>
        <w:spacing w:line="360" w:lineRule="atLeast"/>
        <w:jc w:val="both"/>
        <w:rPr>
          <w:rFonts w:ascii="Candara" w:hAnsi="Candara"/>
          <w:b/>
          <w:i/>
          <w:sz w:val="22"/>
          <w:szCs w:val="22"/>
        </w:rPr>
      </w:pPr>
      <w:r w:rsidRPr="002B1A71">
        <w:rPr>
          <w:rFonts w:ascii="Candara" w:hAnsi="Candara"/>
          <w:b/>
          <w:i/>
          <w:sz w:val="22"/>
          <w:szCs w:val="22"/>
        </w:rPr>
        <w:t>1</w:t>
      </w:r>
      <w:r w:rsidR="00BF16C7">
        <w:rPr>
          <w:rFonts w:ascii="Candara" w:hAnsi="Candara"/>
          <w:b/>
          <w:i/>
          <w:sz w:val="22"/>
          <w:szCs w:val="22"/>
        </w:rPr>
        <w:t>0</w:t>
      </w:r>
      <w:r w:rsidRPr="002B1A71">
        <w:rPr>
          <w:rFonts w:ascii="Candara" w:hAnsi="Candara"/>
          <w:b/>
          <w:i/>
          <w:sz w:val="22"/>
          <w:szCs w:val="22"/>
        </w:rPr>
        <w:t>.1</w:t>
      </w:r>
      <w:r w:rsidR="004F5AB2" w:rsidRPr="002B1A71">
        <w:rPr>
          <w:rFonts w:ascii="Candara" w:hAnsi="Candara"/>
          <w:b/>
          <w:i/>
          <w:sz w:val="22"/>
          <w:szCs w:val="22"/>
        </w:rPr>
        <w:t xml:space="preserve"> —</w:t>
      </w:r>
      <w:r w:rsidRPr="002B1A71">
        <w:rPr>
          <w:rFonts w:ascii="Candara" w:hAnsi="Candara"/>
          <w:b/>
          <w:i/>
          <w:sz w:val="22"/>
          <w:szCs w:val="22"/>
        </w:rPr>
        <w:t xml:space="preserve"> </w:t>
      </w:r>
      <w:r w:rsidR="004F5AB2" w:rsidRPr="002B1A71">
        <w:rPr>
          <w:rFonts w:ascii="Candara" w:hAnsi="Candara"/>
          <w:b/>
          <w:i/>
          <w:sz w:val="22"/>
          <w:szCs w:val="22"/>
        </w:rPr>
        <w:t>Bases de mensuração e p</w:t>
      </w:r>
      <w:r w:rsidR="00342975" w:rsidRPr="002B1A71">
        <w:rPr>
          <w:rFonts w:ascii="Candara" w:hAnsi="Candara"/>
          <w:b/>
          <w:i/>
          <w:sz w:val="22"/>
          <w:szCs w:val="22"/>
        </w:rPr>
        <w:t>olíticas</w:t>
      </w:r>
      <w:r w:rsidRPr="002B1A71">
        <w:rPr>
          <w:rFonts w:ascii="Candara" w:hAnsi="Candara"/>
          <w:b/>
          <w:i/>
          <w:sz w:val="22"/>
          <w:szCs w:val="22"/>
        </w:rPr>
        <w:t xml:space="preserve"> contabilísticas </w:t>
      </w:r>
      <w:r w:rsidR="004F5AB2" w:rsidRPr="002B1A71">
        <w:rPr>
          <w:rFonts w:ascii="Candara" w:hAnsi="Candara"/>
          <w:b/>
          <w:i/>
          <w:sz w:val="22"/>
          <w:szCs w:val="22"/>
        </w:rPr>
        <w:t xml:space="preserve">relevantes </w:t>
      </w:r>
      <w:r w:rsidR="00E735B8" w:rsidRPr="002B1A71">
        <w:rPr>
          <w:rFonts w:ascii="Candara" w:hAnsi="Candara"/>
          <w:b/>
          <w:i/>
          <w:sz w:val="22"/>
          <w:szCs w:val="22"/>
        </w:rPr>
        <w:t>pa</w:t>
      </w:r>
      <w:r w:rsidRPr="002B1A71">
        <w:rPr>
          <w:rFonts w:ascii="Candara" w:hAnsi="Candara"/>
          <w:b/>
          <w:i/>
          <w:sz w:val="22"/>
          <w:szCs w:val="22"/>
        </w:rPr>
        <w:t>ra a compreensã</w:t>
      </w:r>
      <w:r w:rsidR="00E735B8" w:rsidRPr="002B1A71">
        <w:rPr>
          <w:rFonts w:ascii="Candara" w:hAnsi="Candara"/>
          <w:b/>
          <w:i/>
          <w:sz w:val="22"/>
          <w:szCs w:val="22"/>
        </w:rPr>
        <w:t>o das demonstrações financeiras, utilizadas para a contabilização de instrumentos financeiros.</w:t>
      </w:r>
    </w:p>
    <w:p w:rsidR="00342975" w:rsidRPr="002B1A71" w:rsidRDefault="00342975" w:rsidP="00304037">
      <w:pPr>
        <w:spacing w:line="360" w:lineRule="atLeast"/>
        <w:jc w:val="both"/>
        <w:rPr>
          <w:rFonts w:ascii="Candara" w:hAnsi="Candara"/>
          <w:sz w:val="22"/>
          <w:szCs w:val="22"/>
        </w:rPr>
      </w:pPr>
      <w:r w:rsidRPr="002B1A71">
        <w:rPr>
          <w:rFonts w:ascii="Candara" w:hAnsi="Candara"/>
          <w:sz w:val="22"/>
          <w:szCs w:val="22"/>
        </w:rPr>
        <w:t>A entidade reconhece um ativo financeiro ou um passivo financeiro, apenas quando se torne uma parte das disposições contratuais do instrumento.</w:t>
      </w:r>
    </w:p>
    <w:p w:rsidR="009A6E8F" w:rsidRDefault="009A6E8F" w:rsidP="00304037">
      <w:pPr>
        <w:autoSpaceDE w:val="0"/>
        <w:autoSpaceDN w:val="0"/>
        <w:adjustRightInd w:val="0"/>
        <w:jc w:val="both"/>
        <w:rPr>
          <w:rFonts w:ascii="Candara" w:hAnsi="Candara" w:cs="TimesNewRomanPSMT"/>
          <w:b/>
          <w:sz w:val="22"/>
          <w:szCs w:val="22"/>
          <w:highlight w:val="yellow"/>
        </w:rPr>
      </w:pPr>
    </w:p>
    <w:p w:rsidR="0063155B" w:rsidRDefault="00BF16C7" w:rsidP="0063155B">
      <w:pPr>
        <w:spacing w:line="360" w:lineRule="atLeast"/>
        <w:jc w:val="both"/>
        <w:rPr>
          <w:rFonts w:ascii="Candara" w:hAnsi="Candara"/>
          <w:b/>
          <w:i/>
          <w:sz w:val="22"/>
          <w:szCs w:val="22"/>
        </w:rPr>
      </w:pPr>
      <w:r>
        <w:rPr>
          <w:rFonts w:ascii="Candara" w:hAnsi="Candara"/>
          <w:b/>
          <w:i/>
          <w:sz w:val="22"/>
          <w:szCs w:val="22"/>
        </w:rPr>
        <w:t>10.2</w:t>
      </w:r>
      <w:r w:rsidR="009A6E8F" w:rsidRPr="0063155B">
        <w:rPr>
          <w:rFonts w:ascii="Candara" w:hAnsi="Candara"/>
          <w:b/>
          <w:i/>
          <w:sz w:val="22"/>
          <w:szCs w:val="22"/>
        </w:rPr>
        <w:t xml:space="preserve"> — Dívidas à entidade reconhecidas à data do balanço</w:t>
      </w:r>
      <w:r w:rsidR="0063155B">
        <w:rPr>
          <w:rFonts w:ascii="Candara" w:hAnsi="Candara"/>
          <w:b/>
          <w:i/>
          <w:sz w:val="22"/>
          <w:szCs w:val="22"/>
        </w:rPr>
        <w:t xml:space="preserve"> </w:t>
      </w:r>
      <w:r w:rsidR="009A6E8F" w:rsidRPr="0063155B">
        <w:rPr>
          <w:rFonts w:ascii="Candara" w:hAnsi="Candara"/>
          <w:b/>
          <w:i/>
          <w:sz w:val="22"/>
          <w:szCs w:val="22"/>
        </w:rPr>
        <w:t>e cuja duração residual seja superior a um ano:</w:t>
      </w:r>
      <w:r w:rsidR="0063155B">
        <w:rPr>
          <w:rFonts w:ascii="Candara" w:hAnsi="Candara"/>
          <w:b/>
          <w:i/>
          <w:sz w:val="22"/>
          <w:szCs w:val="22"/>
        </w:rPr>
        <w:t xml:space="preserve"> </w:t>
      </w:r>
    </w:p>
    <w:p w:rsidR="009A6E8F" w:rsidRDefault="009A6E8F" w:rsidP="0064534B">
      <w:pPr>
        <w:numPr>
          <w:ilvl w:val="0"/>
          <w:numId w:val="17"/>
        </w:numPr>
        <w:spacing w:line="276" w:lineRule="auto"/>
        <w:ind w:left="284" w:hanging="284"/>
        <w:jc w:val="both"/>
        <w:rPr>
          <w:rFonts w:ascii="Candara" w:hAnsi="Candara"/>
          <w:b/>
          <w:i/>
          <w:sz w:val="22"/>
          <w:szCs w:val="22"/>
        </w:rPr>
      </w:pPr>
      <w:r w:rsidRPr="0064534B">
        <w:rPr>
          <w:rFonts w:ascii="Candara" w:hAnsi="Candara"/>
          <w:b/>
          <w:i/>
          <w:sz w:val="22"/>
          <w:szCs w:val="22"/>
        </w:rPr>
        <w:t>Créditos resultantes de vendas e de prestações de</w:t>
      </w:r>
      <w:r w:rsidR="0063155B" w:rsidRPr="0064534B">
        <w:rPr>
          <w:rFonts w:ascii="Candara" w:hAnsi="Candara"/>
          <w:b/>
          <w:i/>
          <w:sz w:val="22"/>
          <w:szCs w:val="22"/>
        </w:rPr>
        <w:t xml:space="preserve"> </w:t>
      </w:r>
      <w:r w:rsidRPr="0064534B">
        <w:rPr>
          <w:rFonts w:ascii="Candara" w:hAnsi="Candara"/>
          <w:b/>
          <w:i/>
          <w:sz w:val="22"/>
          <w:szCs w:val="22"/>
        </w:rPr>
        <w:t>serviços;</w:t>
      </w:r>
    </w:p>
    <w:p w:rsidR="009A6E8F" w:rsidRDefault="009A6E8F" w:rsidP="0064534B">
      <w:pPr>
        <w:numPr>
          <w:ilvl w:val="0"/>
          <w:numId w:val="17"/>
        </w:numPr>
        <w:spacing w:line="276" w:lineRule="auto"/>
        <w:ind w:left="284" w:hanging="284"/>
        <w:jc w:val="both"/>
        <w:rPr>
          <w:rFonts w:ascii="Candara" w:hAnsi="Candara"/>
          <w:b/>
          <w:i/>
          <w:sz w:val="22"/>
          <w:szCs w:val="22"/>
        </w:rPr>
      </w:pPr>
      <w:r w:rsidRPr="0064534B">
        <w:rPr>
          <w:rFonts w:ascii="Candara" w:hAnsi="Candara"/>
          <w:b/>
          <w:i/>
          <w:sz w:val="22"/>
          <w:szCs w:val="22"/>
        </w:rPr>
        <w:t>Créditos sobre entidades subsidiárias e associadas;</w:t>
      </w:r>
    </w:p>
    <w:p w:rsidR="009A6E8F" w:rsidRPr="0064534B" w:rsidRDefault="009A6E8F" w:rsidP="0064534B">
      <w:pPr>
        <w:numPr>
          <w:ilvl w:val="0"/>
          <w:numId w:val="17"/>
        </w:numPr>
        <w:spacing w:line="276" w:lineRule="auto"/>
        <w:ind w:left="284" w:hanging="284"/>
        <w:jc w:val="both"/>
        <w:rPr>
          <w:rFonts w:ascii="Candara" w:hAnsi="Candara"/>
          <w:b/>
          <w:i/>
          <w:sz w:val="22"/>
          <w:szCs w:val="22"/>
        </w:rPr>
      </w:pPr>
      <w:r w:rsidRPr="0064534B">
        <w:rPr>
          <w:rFonts w:ascii="Candara" w:hAnsi="Candara"/>
          <w:b/>
          <w:i/>
          <w:sz w:val="22"/>
          <w:szCs w:val="22"/>
        </w:rPr>
        <w:t>Outros créditos;</w:t>
      </w:r>
    </w:p>
    <w:p w:rsidR="009A6E8F" w:rsidRPr="0064534B" w:rsidRDefault="009A6E8F" w:rsidP="0064534B">
      <w:pPr>
        <w:numPr>
          <w:ilvl w:val="0"/>
          <w:numId w:val="17"/>
        </w:numPr>
        <w:spacing w:line="276" w:lineRule="auto"/>
        <w:ind w:left="284" w:hanging="284"/>
        <w:jc w:val="both"/>
        <w:rPr>
          <w:rFonts w:ascii="Candara" w:hAnsi="Candara"/>
          <w:b/>
          <w:i/>
          <w:sz w:val="22"/>
          <w:szCs w:val="22"/>
        </w:rPr>
      </w:pPr>
      <w:r w:rsidRPr="0064534B">
        <w:rPr>
          <w:rFonts w:ascii="Candara" w:hAnsi="Candara"/>
          <w:b/>
          <w:i/>
          <w:sz w:val="22"/>
          <w:szCs w:val="22"/>
        </w:rPr>
        <w:t>Fundos subscritos e não realizados;</w:t>
      </w:r>
    </w:p>
    <w:p w:rsidR="009A6E8F" w:rsidRPr="0064534B" w:rsidRDefault="009A6E8F" w:rsidP="0064534B">
      <w:pPr>
        <w:numPr>
          <w:ilvl w:val="0"/>
          <w:numId w:val="17"/>
        </w:numPr>
        <w:spacing w:line="276" w:lineRule="auto"/>
        <w:ind w:left="284" w:hanging="284"/>
        <w:jc w:val="both"/>
        <w:rPr>
          <w:rFonts w:ascii="Candara" w:hAnsi="Candara"/>
          <w:b/>
          <w:i/>
          <w:sz w:val="22"/>
          <w:szCs w:val="22"/>
        </w:rPr>
      </w:pPr>
      <w:r w:rsidRPr="0064534B">
        <w:rPr>
          <w:rFonts w:ascii="Candara" w:hAnsi="Candara"/>
          <w:b/>
          <w:i/>
          <w:sz w:val="22"/>
          <w:szCs w:val="22"/>
        </w:rPr>
        <w:t>Diferimentos.</w:t>
      </w:r>
    </w:p>
    <w:p w:rsidR="0063155B" w:rsidRPr="0064534B" w:rsidRDefault="0063155B" w:rsidP="002258A2">
      <w:pPr>
        <w:spacing w:line="276" w:lineRule="auto"/>
        <w:jc w:val="both"/>
        <w:rPr>
          <w:rFonts w:ascii="Candara" w:hAnsi="Candara"/>
          <w:b/>
          <w:i/>
          <w:sz w:val="22"/>
          <w:szCs w:val="22"/>
        </w:rPr>
      </w:pPr>
    </w:p>
    <w:p w:rsidR="009F7935" w:rsidRPr="003D195A" w:rsidRDefault="00C33078" w:rsidP="009F7935">
      <w:pPr>
        <w:spacing w:line="360" w:lineRule="atLeast"/>
        <w:jc w:val="both"/>
        <w:rPr>
          <w:rFonts w:ascii="Candara" w:hAnsi="Candara"/>
          <w:sz w:val="22"/>
          <w:szCs w:val="22"/>
        </w:rPr>
      </w:pPr>
      <w:r>
        <w:rPr>
          <w:rFonts w:ascii="Candara" w:hAnsi="Candara"/>
          <w:sz w:val="22"/>
          <w:szCs w:val="22"/>
        </w:rPr>
        <w:t>Não se verificam situações  desta natureza</w:t>
      </w:r>
    </w:p>
    <w:p w:rsidR="0064534B" w:rsidRDefault="0064534B" w:rsidP="009A6E8F">
      <w:pPr>
        <w:autoSpaceDE w:val="0"/>
        <w:autoSpaceDN w:val="0"/>
        <w:adjustRightInd w:val="0"/>
        <w:rPr>
          <w:rFonts w:ascii="TimesNewRomanPSMT" w:hAnsi="TimesNewRomanPSMT" w:cs="TimesNewRomanPSMT"/>
          <w:sz w:val="21"/>
          <w:szCs w:val="21"/>
        </w:rPr>
      </w:pPr>
    </w:p>
    <w:p w:rsidR="009A6E8F" w:rsidRDefault="00BF16C7" w:rsidP="0063155B">
      <w:pPr>
        <w:spacing w:line="360" w:lineRule="atLeast"/>
        <w:jc w:val="both"/>
        <w:rPr>
          <w:rFonts w:ascii="Candara" w:hAnsi="Candara"/>
          <w:b/>
          <w:i/>
          <w:sz w:val="22"/>
          <w:szCs w:val="22"/>
        </w:rPr>
      </w:pPr>
      <w:r>
        <w:rPr>
          <w:rFonts w:ascii="Candara" w:hAnsi="Candara"/>
          <w:b/>
          <w:i/>
          <w:sz w:val="22"/>
          <w:szCs w:val="22"/>
        </w:rPr>
        <w:t>10.3</w:t>
      </w:r>
      <w:r w:rsidR="009A6E8F" w:rsidRPr="0063155B">
        <w:rPr>
          <w:rFonts w:ascii="Candara" w:hAnsi="Candara"/>
          <w:b/>
          <w:i/>
          <w:sz w:val="22"/>
          <w:szCs w:val="22"/>
        </w:rPr>
        <w:t xml:space="preserve"> — Dívidas da entidade reconhecidas à data do</w:t>
      </w:r>
      <w:r w:rsidR="0063155B">
        <w:rPr>
          <w:rFonts w:ascii="Candara" w:hAnsi="Candara"/>
          <w:b/>
          <w:i/>
          <w:sz w:val="22"/>
          <w:szCs w:val="22"/>
        </w:rPr>
        <w:t xml:space="preserve"> </w:t>
      </w:r>
      <w:r w:rsidR="009A6E8F" w:rsidRPr="0063155B">
        <w:rPr>
          <w:rFonts w:ascii="Candara" w:hAnsi="Candara"/>
          <w:b/>
          <w:i/>
          <w:sz w:val="22"/>
          <w:szCs w:val="22"/>
        </w:rPr>
        <w:t>balanço e cuja duração residual seja superior a um ano:</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Empréstimos por obrigações;</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Dívidas a instituições de crédito;</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Adiantamentos recebidos sobre encomendas;</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Dívidas por compras e prestações de serviço;</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Dívidas representadas por letras e outros títulos a pagar;</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Dívidas a entidades subsidiárias e associadas;</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Outras dívidas;</w:t>
      </w:r>
    </w:p>
    <w:p w:rsidR="009A6E8F" w:rsidRPr="0064534B" w:rsidRDefault="009A6E8F" w:rsidP="0064534B">
      <w:pPr>
        <w:numPr>
          <w:ilvl w:val="0"/>
          <w:numId w:val="18"/>
        </w:numPr>
        <w:spacing w:line="276" w:lineRule="auto"/>
        <w:ind w:left="284" w:hanging="284"/>
        <w:jc w:val="both"/>
        <w:rPr>
          <w:rFonts w:ascii="Candara" w:hAnsi="Candara"/>
          <w:b/>
          <w:i/>
          <w:sz w:val="22"/>
          <w:szCs w:val="22"/>
        </w:rPr>
      </w:pPr>
      <w:r w:rsidRPr="0064534B">
        <w:rPr>
          <w:rFonts w:ascii="Candara" w:hAnsi="Candara"/>
          <w:b/>
          <w:i/>
          <w:sz w:val="22"/>
          <w:szCs w:val="22"/>
        </w:rPr>
        <w:t>Diferimentos.</w:t>
      </w:r>
    </w:p>
    <w:p w:rsidR="009A6E8F" w:rsidRDefault="009A6E8F" w:rsidP="0064534B">
      <w:pPr>
        <w:spacing w:line="276" w:lineRule="auto"/>
        <w:ind w:left="284"/>
        <w:jc w:val="both"/>
        <w:rPr>
          <w:rFonts w:ascii="Candara" w:hAnsi="Candara"/>
          <w:b/>
          <w:i/>
          <w:sz w:val="22"/>
          <w:szCs w:val="22"/>
        </w:rPr>
      </w:pPr>
    </w:p>
    <w:p w:rsidR="008B77CB" w:rsidRDefault="0064534B" w:rsidP="00304037">
      <w:pPr>
        <w:spacing w:line="360" w:lineRule="atLeast"/>
        <w:jc w:val="both"/>
        <w:rPr>
          <w:rFonts w:ascii="Candara" w:hAnsi="Candara"/>
          <w:b/>
          <w:i/>
          <w:sz w:val="22"/>
          <w:szCs w:val="22"/>
        </w:rPr>
      </w:pPr>
      <w:r w:rsidRPr="00780C29">
        <w:rPr>
          <w:rFonts w:ascii="Candara" w:hAnsi="Candara"/>
          <w:b/>
          <w:i/>
          <w:sz w:val="22"/>
          <w:szCs w:val="22"/>
        </w:rPr>
        <w:t>1</w:t>
      </w:r>
      <w:r w:rsidR="00BF16C7">
        <w:rPr>
          <w:rFonts w:ascii="Candara" w:hAnsi="Candara"/>
          <w:b/>
          <w:i/>
          <w:sz w:val="22"/>
          <w:szCs w:val="22"/>
        </w:rPr>
        <w:t>0</w:t>
      </w:r>
      <w:r w:rsidR="008B77CB" w:rsidRPr="00780C29">
        <w:rPr>
          <w:rFonts w:ascii="Candara" w:hAnsi="Candara"/>
          <w:b/>
          <w:i/>
          <w:sz w:val="22"/>
          <w:szCs w:val="22"/>
        </w:rPr>
        <w:t>.</w:t>
      </w:r>
      <w:r w:rsidR="00BF16C7">
        <w:rPr>
          <w:rFonts w:ascii="Candara" w:hAnsi="Candara"/>
          <w:b/>
          <w:i/>
          <w:sz w:val="22"/>
          <w:szCs w:val="22"/>
        </w:rPr>
        <w:t>4</w:t>
      </w:r>
      <w:r w:rsidR="008B77CB" w:rsidRPr="00780C29">
        <w:rPr>
          <w:rFonts w:ascii="Candara" w:hAnsi="Candara"/>
          <w:b/>
          <w:i/>
          <w:sz w:val="22"/>
          <w:szCs w:val="22"/>
        </w:rPr>
        <w:t xml:space="preserve"> A quantia escriturada de cada uma das categorias de ativos financeiros e passivos financeiros, no total e para cada um dos tipos significativos de ativos e passivos financeiros de entre cada categoria é a seguinte:</w:t>
      </w:r>
    </w:p>
    <w:p w:rsidR="006354EF" w:rsidRDefault="006354EF" w:rsidP="00304037">
      <w:pPr>
        <w:spacing w:line="360" w:lineRule="atLeast"/>
        <w:jc w:val="both"/>
        <w:rPr>
          <w:rFonts w:ascii="Candara" w:hAnsi="Candara"/>
          <w:b/>
          <w:i/>
          <w:sz w:val="22"/>
          <w:szCs w:val="22"/>
        </w:rPr>
      </w:pPr>
    </w:p>
    <w:p w:rsidR="008B77CB" w:rsidRPr="00DD075C" w:rsidRDefault="008B77CB" w:rsidP="00304037">
      <w:pPr>
        <w:spacing w:line="360" w:lineRule="atLeast"/>
        <w:jc w:val="both"/>
        <w:rPr>
          <w:rFonts w:ascii="Candara" w:hAnsi="Candara"/>
          <w:b/>
          <w:i/>
          <w:sz w:val="22"/>
          <w:szCs w:val="22"/>
        </w:rPr>
      </w:pPr>
      <w:r w:rsidRPr="00DD075C">
        <w:rPr>
          <w:rFonts w:ascii="Candara" w:hAnsi="Candara"/>
          <w:b/>
          <w:i/>
          <w:sz w:val="22"/>
          <w:szCs w:val="22"/>
        </w:rPr>
        <w:t>1</w:t>
      </w:r>
      <w:r w:rsidR="00BF16C7">
        <w:rPr>
          <w:rFonts w:ascii="Candara" w:hAnsi="Candara"/>
          <w:b/>
          <w:i/>
          <w:sz w:val="22"/>
          <w:szCs w:val="22"/>
        </w:rPr>
        <w:t>0</w:t>
      </w:r>
      <w:r w:rsidRPr="00DD075C">
        <w:rPr>
          <w:rFonts w:ascii="Candara" w:hAnsi="Candara"/>
          <w:b/>
          <w:i/>
          <w:sz w:val="22"/>
          <w:szCs w:val="22"/>
        </w:rPr>
        <w:t>.</w:t>
      </w:r>
      <w:r w:rsidR="00BF16C7">
        <w:rPr>
          <w:rFonts w:ascii="Candara" w:hAnsi="Candara"/>
          <w:b/>
          <w:i/>
          <w:sz w:val="22"/>
          <w:szCs w:val="22"/>
        </w:rPr>
        <w:t>4</w:t>
      </w:r>
      <w:r w:rsidRPr="00DD075C">
        <w:rPr>
          <w:rFonts w:ascii="Candara" w:hAnsi="Candara"/>
          <w:b/>
          <w:i/>
          <w:sz w:val="22"/>
          <w:szCs w:val="22"/>
        </w:rPr>
        <w:t>.1 Clientes/Fornecedores/</w:t>
      </w:r>
      <w:r w:rsidR="00780C29" w:rsidRPr="00DD075C">
        <w:rPr>
          <w:rFonts w:ascii="Candara" w:hAnsi="Candara"/>
          <w:b/>
          <w:i/>
          <w:sz w:val="22"/>
          <w:szCs w:val="22"/>
        </w:rPr>
        <w:t>créditos a receber/outros passivos correntes</w:t>
      </w:r>
      <w:r w:rsidRPr="00DD075C">
        <w:rPr>
          <w:rFonts w:ascii="Candara" w:hAnsi="Candara"/>
          <w:b/>
          <w:i/>
          <w:sz w:val="22"/>
          <w:szCs w:val="22"/>
        </w:rPr>
        <w:t>/pessoal</w:t>
      </w:r>
    </w:p>
    <w:p w:rsidR="0007317A" w:rsidRDefault="009D64FB" w:rsidP="00BA54DA">
      <w:pPr>
        <w:spacing w:line="360" w:lineRule="atLeast"/>
        <w:rPr>
          <w:rFonts w:ascii="Candara" w:hAnsi="Candara"/>
          <w:b/>
          <w:sz w:val="22"/>
          <w:szCs w:val="22"/>
        </w:rPr>
      </w:pPr>
      <w:r>
        <w:rPr>
          <w:rFonts w:ascii="Candara" w:hAnsi="Candara"/>
          <w:sz w:val="22"/>
          <w:szCs w:val="22"/>
        </w:rPr>
        <w:t>Sem movimento</w:t>
      </w:r>
    </w:p>
    <w:p w:rsidR="008B77CB" w:rsidRPr="00C26B1F" w:rsidRDefault="008B77CB" w:rsidP="00304037">
      <w:pPr>
        <w:spacing w:line="360" w:lineRule="atLeast"/>
        <w:jc w:val="both"/>
        <w:rPr>
          <w:szCs w:val="22"/>
          <w:highlight w:val="yellow"/>
        </w:rPr>
      </w:pPr>
      <w:bookmarkStart w:id="15" w:name="_MON_1391264725"/>
      <w:bookmarkStart w:id="16" w:name="_MON_1391264791"/>
      <w:bookmarkStart w:id="17" w:name="_MON_1391264860"/>
      <w:bookmarkStart w:id="18" w:name="_MON_1391264867"/>
      <w:bookmarkStart w:id="19" w:name="_MON_1391264987"/>
      <w:bookmarkStart w:id="20" w:name="_MON_1391265031"/>
      <w:bookmarkEnd w:id="15"/>
      <w:bookmarkEnd w:id="16"/>
      <w:bookmarkEnd w:id="17"/>
      <w:bookmarkEnd w:id="18"/>
      <w:bookmarkEnd w:id="19"/>
      <w:bookmarkEnd w:id="20"/>
    </w:p>
    <w:p w:rsidR="008B77CB" w:rsidRPr="00780C29" w:rsidRDefault="008B77CB" w:rsidP="00304037">
      <w:pPr>
        <w:spacing w:line="360" w:lineRule="atLeast"/>
        <w:jc w:val="both"/>
        <w:rPr>
          <w:rFonts w:ascii="Candara" w:hAnsi="Candara"/>
          <w:b/>
          <w:i/>
          <w:sz w:val="22"/>
          <w:szCs w:val="22"/>
        </w:rPr>
      </w:pPr>
      <w:r w:rsidRPr="00780C29">
        <w:rPr>
          <w:rFonts w:ascii="Candara" w:hAnsi="Candara"/>
          <w:sz w:val="22"/>
          <w:szCs w:val="22"/>
        </w:rPr>
        <w:lastRenderedPageBreak/>
        <w:t xml:space="preserve"> </w:t>
      </w:r>
      <w:r w:rsidRPr="00780C29">
        <w:rPr>
          <w:rFonts w:ascii="Candara" w:hAnsi="Candara"/>
          <w:b/>
          <w:sz w:val="22"/>
          <w:szCs w:val="22"/>
        </w:rPr>
        <w:t>1</w:t>
      </w:r>
      <w:r w:rsidR="00BF16C7">
        <w:rPr>
          <w:rFonts w:ascii="Candara" w:hAnsi="Candara"/>
          <w:b/>
          <w:sz w:val="22"/>
          <w:szCs w:val="22"/>
        </w:rPr>
        <w:t>0</w:t>
      </w:r>
      <w:r w:rsidRPr="00780C29">
        <w:rPr>
          <w:rFonts w:ascii="Candara" w:hAnsi="Candara"/>
          <w:b/>
          <w:sz w:val="22"/>
          <w:szCs w:val="22"/>
        </w:rPr>
        <w:t>.</w:t>
      </w:r>
      <w:r w:rsidR="00BF16C7">
        <w:rPr>
          <w:rFonts w:ascii="Candara" w:hAnsi="Candara"/>
          <w:b/>
          <w:sz w:val="22"/>
          <w:szCs w:val="22"/>
        </w:rPr>
        <w:t>4</w:t>
      </w:r>
      <w:r w:rsidRPr="00780C29">
        <w:rPr>
          <w:rFonts w:ascii="Candara" w:hAnsi="Candara"/>
          <w:b/>
          <w:i/>
          <w:sz w:val="22"/>
          <w:szCs w:val="22"/>
        </w:rPr>
        <w:t>.</w:t>
      </w:r>
      <w:r w:rsidR="004E1E27">
        <w:rPr>
          <w:rFonts w:ascii="Candara" w:hAnsi="Candara"/>
          <w:b/>
          <w:i/>
          <w:sz w:val="22"/>
          <w:szCs w:val="22"/>
        </w:rPr>
        <w:t>2</w:t>
      </w:r>
      <w:r w:rsidRPr="00780C29">
        <w:rPr>
          <w:rFonts w:ascii="Candara" w:hAnsi="Candara"/>
          <w:b/>
          <w:i/>
          <w:sz w:val="22"/>
          <w:szCs w:val="22"/>
        </w:rPr>
        <w:t xml:space="preserve"> Financiamentos obtidos</w:t>
      </w:r>
    </w:p>
    <w:p w:rsidR="008B77CB" w:rsidRPr="00780C29" w:rsidRDefault="009D64FB" w:rsidP="00304037">
      <w:pPr>
        <w:spacing w:line="360" w:lineRule="atLeast"/>
        <w:jc w:val="both"/>
        <w:rPr>
          <w:rFonts w:ascii="Candara" w:hAnsi="Candara"/>
          <w:sz w:val="22"/>
          <w:szCs w:val="22"/>
        </w:rPr>
      </w:pPr>
      <w:r>
        <w:rPr>
          <w:rFonts w:ascii="Candara" w:hAnsi="Candara"/>
          <w:sz w:val="22"/>
          <w:szCs w:val="22"/>
        </w:rPr>
        <w:t xml:space="preserve"> Sem movimento</w:t>
      </w:r>
    </w:p>
    <w:p w:rsidR="00E870AD" w:rsidRDefault="00E870AD" w:rsidP="00304037">
      <w:pPr>
        <w:spacing w:line="360" w:lineRule="atLeast"/>
        <w:jc w:val="both"/>
        <w:rPr>
          <w:rFonts w:ascii="Candara" w:hAnsi="Candara"/>
          <w:b/>
          <w:i/>
          <w:sz w:val="22"/>
          <w:szCs w:val="22"/>
        </w:rPr>
      </w:pPr>
    </w:p>
    <w:p w:rsidR="008B77CB" w:rsidRPr="00DD075C" w:rsidRDefault="004E1E27" w:rsidP="00304037">
      <w:pPr>
        <w:spacing w:line="360" w:lineRule="atLeast"/>
        <w:jc w:val="both"/>
        <w:rPr>
          <w:rFonts w:ascii="Candara" w:hAnsi="Candara"/>
          <w:b/>
          <w:i/>
          <w:sz w:val="22"/>
          <w:szCs w:val="22"/>
        </w:rPr>
      </w:pPr>
      <w:r>
        <w:rPr>
          <w:rFonts w:ascii="Candara" w:hAnsi="Candara"/>
          <w:b/>
          <w:i/>
          <w:sz w:val="22"/>
          <w:szCs w:val="22"/>
        </w:rPr>
        <w:t>10</w:t>
      </w:r>
      <w:r w:rsidR="00780C29" w:rsidRPr="00DD075C">
        <w:rPr>
          <w:rFonts w:ascii="Candara" w:hAnsi="Candara"/>
          <w:b/>
          <w:i/>
          <w:sz w:val="22"/>
          <w:szCs w:val="22"/>
        </w:rPr>
        <w:t>.</w:t>
      </w:r>
      <w:r>
        <w:rPr>
          <w:rFonts w:ascii="Candara" w:hAnsi="Candara"/>
          <w:b/>
          <w:i/>
          <w:sz w:val="22"/>
          <w:szCs w:val="22"/>
        </w:rPr>
        <w:t>4</w:t>
      </w:r>
      <w:r w:rsidR="008B77CB" w:rsidRPr="00DD075C">
        <w:rPr>
          <w:rFonts w:ascii="Candara" w:hAnsi="Candara"/>
          <w:b/>
          <w:i/>
          <w:sz w:val="22"/>
          <w:szCs w:val="22"/>
        </w:rPr>
        <w:t xml:space="preserve">.3 </w:t>
      </w:r>
      <w:r w:rsidR="00854C3B" w:rsidRPr="00DD075C">
        <w:rPr>
          <w:rFonts w:ascii="Candara" w:hAnsi="Candara"/>
          <w:b/>
          <w:i/>
          <w:sz w:val="22"/>
          <w:szCs w:val="22"/>
        </w:rPr>
        <w:t>Inv</w:t>
      </w:r>
      <w:r w:rsidR="00780C29" w:rsidRPr="00DD075C">
        <w:rPr>
          <w:rFonts w:ascii="Candara" w:hAnsi="Candara"/>
          <w:b/>
          <w:i/>
          <w:sz w:val="22"/>
          <w:szCs w:val="22"/>
        </w:rPr>
        <w:t>estimentos financeiros</w:t>
      </w:r>
    </w:p>
    <w:p w:rsidR="00E870AD" w:rsidRPr="003D195A" w:rsidRDefault="00E870AD" w:rsidP="00E870AD">
      <w:pPr>
        <w:spacing w:line="360" w:lineRule="atLeast"/>
        <w:jc w:val="both"/>
        <w:rPr>
          <w:rFonts w:ascii="Candara" w:hAnsi="Candara"/>
          <w:sz w:val="22"/>
          <w:szCs w:val="22"/>
        </w:rPr>
      </w:pPr>
      <w:r>
        <w:rPr>
          <w:rFonts w:ascii="Candara" w:hAnsi="Candara"/>
          <w:sz w:val="22"/>
          <w:szCs w:val="22"/>
        </w:rPr>
        <w:t>Não se verificam situações  desta natureza</w:t>
      </w:r>
    </w:p>
    <w:p w:rsidR="00E870AD" w:rsidRDefault="00E870AD" w:rsidP="00E870AD">
      <w:pPr>
        <w:autoSpaceDE w:val="0"/>
        <w:autoSpaceDN w:val="0"/>
        <w:adjustRightInd w:val="0"/>
        <w:rPr>
          <w:rFonts w:ascii="TimesNewRomanPSMT" w:hAnsi="TimesNewRomanPSMT" w:cs="TimesNewRomanPSMT"/>
          <w:sz w:val="21"/>
          <w:szCs w:val="21"/>
        </w:rPr>
      </w:pPr>
    </w:p>
    <w:p w:rsidR="008B77CB" w:rsidRPr="00DD075C" w:rsidRDefault="008B77CB" w:rsidP="00304037">
      <w:pPr>
        <w:spacing w:line="360" w:lineRule="atLeast"/>
        <w:jc w:val="both"/>
        <w:rPr>
          <w:rFonts w:ascii="Candara" w:hAnsi="Candara"/>
          <w:sz w:val="22"/>
          <w:szCs w:val="22"/>
        </w:rPr>
      </w:pPr>
      <w:r w:rsidRPr="00DD075C">
        <w:rPr>
          <w:rFonts w:ascii="Candara" w:hAnsi="Candara"/>
          <w:sz w:val="22"/>
          <w:szCs w:val="22"/>
        </w:rPr>
        <w:t>Em 31 de Dezembro de 201</w:t>
      </w:r>
      <w:r w:rsidR="0069634D">
        <w:rPr>
          <w:rFonts w:ascii="Candara" w:hAnsi="Candara"/>
          <w:sz w:val="22"/>
          <w:szCs w:val="22"/>
        </w:rPr>
        <w:t>6</w:t>
      </w:r>
      <w:r w:rsidR="00EF1EC7" w:rsidRPr="00DD075C">
        <w:rPr>
          <w:rFonts w:ascii="Candara" w:hAnsi="Candara"/>
          <w:sz w:val="22"/>
          <w:szCs w:val="22"/>
        </w:rPr>
        <w:t xml:space="preserve"> e 201</w:t>
      </w:r>
      <w:r w:rsidR="0069634D">
        <w:rPr>
          <w:rFonts w:ascii="Candara" w:hAnsi="Candara"/>
          <w:sz w:val="22"/>
          <w:szCs w:val="22"/>
        </w:rPr>
        <w:t>5</w:t>
      </w:r>
      <w:r w:rsidRPr="00DD075C">
        <w:rPr>
          <w:rFonts w:ascii="Candara" w:hAnsi="Candara"/>
          <w:sz w:val="22"/>
          <w:szCs w:val="22"/>
        </w:rPr>
        <w:t>, a rubrica de «Investimentos Financeiros», apresentava a seguinte decomposição:</w:t>
      </w:r>
    </w:p>
    <w:p w:rsidR="008B77CB" w:rsidRDefault="008B77CB" w:rsidP="0064534B">
      <w:pPr>
        <w:spacing w:line="360" w:lineRule="atLeast"/>
        <w:jc w:val="center"/>
        <w:rPr>
          <w:rFonts w:ascii="Candara" w:hAnsi="Candara"/>
          <w:b/>
          <w:sz w:val="22"/>
          <w:szCs w:val="22"/>
        </w:rPr>
      </w:pPr>
      <w:r w:rsidRPr="00DD075C">
        <w:rPr>
          <w:rFonts w:ascii="Candara" w:hAnsi="Candara"/>
          <w:b/>
          <w:sz w:val="22"/>
          <w:szCs w:val="22"/>
        </w:rPr>
        <w:t>Investimentos Financeiros</w:t>
      </w:r>
    </w:p>
    <w:p w:rsidR="009D64FB" w:rsidRPr="00DD075C" w:rsidRDefault="009D64FB" w:rsidP="0064534B">
      <w:pPr>
        <w:spacing w:line="360" w:lineRule="atLeast"/>
        <w:jc w:val="center"/>
        <w:rPr>
          <w:rFonts w:ascii="Candara" w:hAnsi="Candara"/>
          <w:b/>
          <w:sz w:val="22"/>
          <w:szCs w:val="22"/>
        </w:rPr>
      </w:pPr>
      <w:r>
        <w:rPr>
          <w:rFonts w:ascii="Candara" w:hAnsi="Candara"/>
          <w:b/>
          <w:sz w:val="22"/>
          <w:szCs w:val="22"/>
        </w:rPr>
        <w:t>Comparticipação da entidade no Fundo de Compensação</w:t>
      </w:r>
    </w:p>
    <w:p w:rsidR="008D6121" w:rsidRPr="00DD075C" w:rsidRDefault="008D6121" w:rsidP="0064534B">
      <w:pPr>
        <w:spacing w:line="360" w:lineRule="atLeast"/>
        <w:jc w:val="center"/>
        <w:rPr>
          <w:rFonts w:ascii="Candara" w:hAnsi="Candara"/>
          <w:sz w:val="22"/>
          <w:szCs w:val="22"/>
        </w:rPr>
      </w:pPr>
    </w:p>
    <w:bookmarkStart w:id="21" w:name="_MON_1391263116"/>
    <w:bookmarkEnd w:id="21"/>
    <w:p w:rsidR="008B77CB" w:rsidRPr="00DD075C" w:rsidRDefault="00E870AD" w:rsidP="00304037">
      <w:pPr>
        <w:spacing w:line="360" w:lineRule="atLeast"/>
        <w:jc w:val="both"/>
        <w:rPr>
          <w:szCs w:val="22"/>
        </w:rPr>
      </w:pPr>
      <w:r w:rsidRPr="00035329">
        <w:rPr>
          <w:szCs w:val="22"/>
        </w:rPr>
        <w:object w:dxaOrig="13320" w:dyaOrig="3855">
          <v:shape id="_x0000_i1032" type="#_x0000_t75" style="width:468pt;height:2in" o:ole="">
            <v:imagedata r:id="rId22" o:title=""/>
          </v:shape>
          <o:OLEObject Type="Embed" ProgID="Excel.Sheet.8" ShapeID="_x0000_i1032" DrawAspect="Content" ObjectID="_1550245063" r:id="rId23"/>
        </w:object>
      </w:r>
    </w:p>
    <w:p w:rsidR="00E21552" w:rsidRPr="00DD075C" w:rsidRDefault="00E21552" w:rsidP="00304037">
      <w:pPr>
        <w:spacing w:line="360" w:lineRule="atLeast"/>
        <w:jc w:val="both"/>
        <w:rPr>
          <w:szCs w:val="22"/>
        </w:rPr>
      </w:pPr>
    </w:p>
    <w:p w:rsidR="008B77CB" w:rsidRPr="00DD075C" w:rsidRDefault="008B77CB" w:rsidP="00304037">
      <w:pPr>
        <w:spacing w:line="360" w:lineRule="atLeast"/>
        <w:jc w:val="both"/>
        <w:rPr>
          <w:rFonts w:ascii="Candara" w:hAnsi="Candara"/>
          <w:b/>
          <w:i/>
          <w:sz w:val="22"/>
          <w:szCs w:val="22"/>
        </w:rPr>
      </w:pPr>
      <w:r w:rsidRPr="00DD075C">
        <w:rPr>
          <w:rFonts w:ascii="Candara" w:hAnsi="Candara"/>
          <w:b/>
          <w:i/>
          <w:sz w:val="22"/>
          <w:szCs w:val="22"/>
        </w:rPr>
        <w:t>1</w:t>
      </w:r>
      <w:r w:rsidR="004E1E27">
        <w:rPr>
          <w:rFonts w:ascii="Candara" w:hAnsi="Candara"/>
          <w:b/>
          <w:i/>
          <w:sz w:val="22"/>
          <w:szCs w:val="22"/>
        </w:rPr>
        <w:t>0</w:t>
      </w:r>
      <w:r w:rsidRPr="00DD075C">
        <w:rPr>
          <w:rFonts w:ascii="Candara" w:hAnsi="Candara"/>
          <w:b/>
          <w:i/>
          <w:sz w:val="22"/>
          <w:szCs w:val="22"/>
        </w:rPr>
        <w:t>.</w:t>
      </w:r>
      <w:r w:rsidR="004E1E27">
        <w:rPr>
          <w:rFonts w:ascii="Candara" w:hAnsi="Candara"/>
          <w:b/>
          <w:i/>
          <w:sz w:val="22"/>
          <w:szCs w:val="22"/>
        </w:rPr>
        <w:t>4</w:t>
      </w:r>
      <w:r w:rsidRPr="00DD075C">
        <w:rPr>
          <w:rFonts w:ascii="Candara" w:hAnsi="Candara"/>
          <w:b/>
          <w:i/>
          <w:sz w:val="22"/>
          <w:szCs w:val="22"/>
        </w:rPr>
        <w:t>.</w:t>
      </w:r>
      <w:r w:rsidR="004E1E27">
        <w:rPr>
          <w:rFonts w:ascii="Candara" w:hAnsi="Candara"/>
          <w:b/>
          <w:i/>
          <w:sz w:val="22"/>
          <w:szCs w:val="22"/>
        </w:rPr>
        <w:t>4</w:t>
      </w:r>
      <w:r w:rsidRPr="00DD075C">
        <w:rPr>
          <w:rFonts w:ascii="Candara" w:hAnsi="Candara"/>
          <w:b/>
          <w:i/>
          <w:sz w:val="22"/>
          <w:szCs w:val="22"/>
        </w:rPr>
        <w:t xml:space="preserve"> Caixa e depósitos bancários</w:t>
      </w:r>
    </w:p>
    <w:p w:rsidR="00EA2899" w:rsidRPr="00DD075C" w:rsidRDefault="008B77CB" w:rsidP="00304037">
      <w:pPr>
        <w:spacing w:line="360" w:lineRule="atLeast"/>
        <w:jc w:val="both"/>
        <w:rPr>
          <w:rFonts w:ascii="Candara" w:hAnsi="Candara"/>
          <w:sz w:val="22"/>
          <w:szCs w:val="22"/>
        </w:rPr>
      </w:pPr>
      <w:r w:rsidRPr="00DD075C">
        <w:rPr>
          <w:rFonts w:ascii="Candara" w:hAnsi="Candara"/>
          <w:sz w:val="22"/>
          <w:szCs w:val="22"/>
        </w:rPr>
        <w:t>Em 31 de Dezembro de 201</w:t>
      </w:r>
      <w:r w:rsidR="0069634D">
        <w:rPr>
          <w:rFonts w:ascii="Candara" w:hAnsi="Candara"/>
          <w:sz w:val="22"/>
          <w:szCs w:val="22"/>
        </w:rPr>
        <w:t>6</w:t>
      </w:r>
      <w:r w:rsidR="006257F6" w:rsidRPr="00DD075C">
        <w:rPr>
          <w:rFonts w:ascii="Candara" w:hAnsi="Candara"/>
          <w:sz w:val="22"/>
          <w:szCs w:val="22"/>
        </w:rPr>
        <w:t xml:space="preserve"> e 201</w:t>
      </w:r>
      <w:r w:rsidR="0069634D">
        <w:rPr>
          <w:rFonts w:ascii="Candara" w:hAnsi="Candara"/>
          <w:sz w:val="22"/>
          <w:szCs w:val="22"/>
        </w:rPr>
        <w:t>5</w:t>
      </w:r>
      <w:r w:rsidRPr="00DD075C">
        <w:rPr>
          <w:rFonts w:ascii="Candara" w:hAnsi="Candara"/>
          <w:sz w:val="22"/>
          <w:szCs w:val="22"/>
        </w:rPr>
        <w:t>, a rubrica de caixa e depósitos bancários apresentava a seguinte</w:t>
      </w:r>
      <w:r w:rsidR="006257F6" w:rsidRPr="00DD075C">
        <w:rPr>
          <w:rFonts w:ascii="Candara" w:hAnsi="Candara"/>
          <w:sz w:val="22"/>
          <w:szCs w:val="22"/>
        </w:rPr>
        <w:t xml:space="preserve"> d</w:t>
      </w:r>
      <w:r w:rsidRPr="00DD075C">
        <w:rPr>
          <w:rFonts w:ascii="Candara" w:hAnsi="Candara"/>
          <w:sz w:val="22"/>
          <w:szCs w:val="22"/>
        </w:rPr>
        <w:t>ecomposição:</w:t>
      </w:r>
      <w:bookmarkStart w:id="22" w:name="_MON_1391263152"/>
      <w:bookmarkEnd w:id="22"/>
    </w:p>
    <w:p w:rsidR="00D5528D" w:rsidRDefault="00D5528D" w:rsidP="007E56C8">
      <w:pPr>
        <w:spacing w:line="360" w:lineRule="atLeast"/>
        <w:jc w:val="both"/>
        <w:rPr>
          <w:rFonts w:ascii="Candara" w:hAnsi="Candara"/>
          <w:b/>
          <w:sz w:val="22"/>
          <w:szCs w:val="22"/>
        </w:rPr>
      </w:pPr>
    </w:p>
    <w:bookmarkStart w:id="23" w:name="_MON_1391263194"/>
    <w:bookmarkEnd w:id="23"/>
    <w:p w:rsidR="00D5528D" w:rsidRDefault="00E870AD" w:rsidP="007E56C8">
      <w:pPr>
        <w:spacing w:line="360" w:lineRule="atLeast"/>
        <w:jc w:val="both"/>
        <w:rPr>
          <w:rFonts w:ascii="Candara" w:hAnsi="Candara"/>
          <w:b/>
          <w:sz w:val="22"/>
          <w:szCs w:val="22"/>
        </w:rPr>
      </w:pPr>
      <w:r w:rsidRPr="00B87F61">
        <w:rPr>
          <w:rFonts w:ascii="Candara" w:hAnsi="Candara"/>
          <w:b/>
          <w:sz w:val="22"/>
          <w:szCs w:val="22"/>
        </w:rPr>
        <w:object w:dxaOrig="9582" w:dyaOrig="1863">
          <v:shape id="_x0000_i1033" type="#_x0000_t75" style="width:500.25pt;height:98.25pt" o:ole="">
            <v:imagedata r:id="rId24" o:title=""/>
          </v:shape>
          <o:OLEObject Type="Embed" ProgID="Excel.Sheet.8" ShapeID="_x0000_i1033" DrawAspect="Content" ObjectID="_1550245064" r:id="rId25"/>
        </w:object>
      </w:r>
    </w:p>
    <w:p w:rsidR="003F4D2F" w:rsidRPr="003F4D2F" w:rsidRDefault="003F4D2F" w:rsidP="007E56C8">
      <w:pPr>
        <w:spacing w:line="360" w:lineRule="atLeast"/>
        <w:jc w:val="both"/>
        <w:rPr>
          <w:rFonts w:ascii="Candara" w:hAnsi="Candara"/>
          <w:sz w:val="22"/>
          <w:szCs w:val="22"/>
        </w:rPr>
      </w:pPr>
      <w:r w:rsidRPr="003F4D2F">
        <w:rPr>
          <w:rFonts w:ascii="Candara" w:hAnsi="Candara"/>
          <w:sz w:val="22"/>
          <w:szCs w:val="22"/>
        </w:rPr>
        <w:t xml:space="preserve">A instituição é titular de uma conta bancária na CGD </w:t>
      </w:r>
      <w:r w:rsidR="00C324C4">
        <w:rPr>
          <w:rFonts w:ascii="Candara" w:hAnsi="Candara"/>
          <w:sz w:val="22"/>
          <w:szCs w:val="22"/>
        </w:rPr>
        <w:t>a qual não tem reflexo nos registos contabilísticos por respeitar a valores de utentes</w:t>
      </w:r>
      <w:r w:rsidR="002818D6">
        <w:rPr>
          <w:rFonts w:ascii="Candara" w:hAnsi="Candara"/>
          <w:sz w:val="22"/>
          <w:szCs w:val="22"/>
        </w:rPr>
        <w:t xml:space="preserve"> à guarda da CERCIG </w:t>
      </w:r>
      <w:r w:rsidR="00C324C4">
        <w:rPr>
          <w:rFonts w:ascii="Candara" w:hAnsi="Candara"/>
          <w:sz w:val="22"/>
          <w:szCs w:val="22"/>
        </w:rPr>
        <w:t xml:space="preserve">cuja gestão e movimentação é efetuada por </w:t>
      </w:r>
      <w:r w:rsidR="002818D6">
        <w:rPr>
          <w:rFonts w:ascii="Candara" w:hAnsi="Candara"/>
          <w:sz w:val="22"/>
          <w:szCs w:val="22"/>
        </w:rPr>
        <w:t>técnica responsável.</w:t>
      </w:r>
    </w:p>
    <w:p w:rsidR="00035329" w:rsidRPr="007E56C8" w:rsidRDefault="00035329" w:rsidP="007E56C8">
      <w:pPr>
        <w:spacing w:line="360" w:lineRule="atLeast"/>
        <w:jc w:val="both"/>
        <w:rPr>
          <w:rFonts w:ascii="Candara" w:hAnsi="Candara"/>
          <w:b/>
          <w:i/>
          <w:sz w:val="22"/>
          <w:szCs w:val="22"/>
          <w:highlight w:val="yellow"/>
        </w:rPr>
      </w:pPr>
    </w:p>
    <w:p w:rsidR="00517373" w:rsidRPr="008B286F" w:rsidRDefault="00F974AD" w:rsidP="00304037">
      <w:pPr>
        <w:numPr>
          <w:ilvl w:val="0"/>
          <w:numId w:val="2"/>
        </w:numPr>
        <w:spacing w:line="360" w:lineRule="atLeast"/>
        <w:ind w:left="284" w:hanging="284"/>
        <w:jc w:val="both"/>
        <w:rPr>
          <w:rFonts w:ascii="Candara" w:hAnsi="Candara"/>
          <w:b/>
          <w:sz w:val="24"/>
          <w:szCs w:val="22"/>
        </w:rPr>
      </w:pPr>
      <w:r w:rsidRPr="008B286F">
        <w:rPr>
          <w:rFonts w:ascii="Candara" w:hAnsi="Candara"/>
          <w:b/>
          <w:sz w:val="24"/>
          <w:szCs w:val="22"/>
        </w:rPr>
        <w:t>BENEFÍCIOS DOS EMPREGADOS</w:t>
      </w:r>
    </w:p>
    <w:p w:rsidR="0064534B" w:rsidRPr="0064534B" w:rsidRDefault="0064534B" w:rsidP="00304037">
      <w:pPr>
        <w:autoSpaceDE w:val="0"/>
        <w:autoSpaceDN w:val="0"/>
        <w:adjustRightInd w:val="0"/>
        <w:jc w:val="both"/>
        <w:rPr>
          <w:rFonts w:ascii="Candara" w:hAnsi="Candara" w:cs="TimesNewRomanPSMT"/>
          <w:b/>
          <w:color w:val="000000"/>
          <w:sz w:val="22"/>
          <w:szCs w:val="22"/>
        </w:rPr>
      </w:pPr>
    </w:p>
    <w:p w:rsidR="0064534B" w:rsidRPr="0064534B" w:rsidRDefault="000A605A" w:rsidP="0064534B">
      <w:pPr>
        <w:spacing w:line="360" w:lineRule="atLeast"/>
        <w:jc w:val="both"/>
        <w:rPr>
          <w:rFonts w:ascii="Candara" w:hAnsi="Candara"/>
          <w:b/>
          <w:i/>
          <w:sz w:val="22"/>
          <w:szCs w:val="22"/>
        </w:rPr>
      </w:pPr>
      <w:r>
        <w:rPr>
          <w:rFonts w:ascii="Candara" w:hAnsi="Candara"/>
          <w:b/>
          <w:i/>
          <w:sz w:val="22"/>
          <w:szCs w:val="22"/>
        </w:rPr>
        <w:t>11</w:t>
      </w:r>
      <w:r w:rsidR="0064534B" w:rsidRPr="0064534B">
        <w:rPr>
          <w:rFonts w:ascii="Candara" w:hAnsi="Candara"/>
          <w:b/>
          <w:i/>
          <w:sz w:val="22"/>
          <w:szCs w:val="22"/>
        </w:rPr>
        <w:t>.1 — Número médio de empregados durante o período a que se referem as demonstrações financeiras.</w:t>
      </w:r>
    </w:p>
    <w:p w:rsidR="00E870AD" w:rsidRDefault="0064534B" w:rsidP="0064534B">
      <w:pPr>
        <w:spacing w:line="360" w:lineRule="atLeast"/>
        <w:jc w:val="both"/>
        <w:rPr>
          <w:rFonts w:ascii="Candara" w:hAnsi="Candara"/>
          <w:sz w:val="22"/>
          <w:szCs w:val="22"/>
        </w:rPr>
      </w:pPr>
      <w:r w:rsidRPr="00EB0436">
        <w:rPr>
          <w:rFonts w:ascii="Candara" w:hAnsi="Candara"/>
          <w:sz w:val="22"/>
          <w:szCs w:val="22"/>
        </w:rPr>
        <w:t>O número médio de funcioná</w:t>
      </w:r>
      <w:r w:rsidR="00D05F1F" w:rsidRPr="00EB0436">
        <w:rPr>
          <w:rFonts w:ascii="Candara" w:hAnsi="Candara"/>
          <w:sz w:val="22"/>
          <w:szCs w:val="22"/>
        </w:rPr>
        <w:t xml:space="preserve">rios </w:t>
      </w:r>
      <w:r w:rsidR="00EB0436" w:rsidRPr="00EB0436">
        <w:rPr>
          <w:rFonts w:ascii="Candara" w:hAnsi="Candara"/>
          <w:sz w:val="22"/>
          <w:szCs w:val="22"/>
        </w:rPr>
        <w:t xml:space="preserve">durante o período foi de </w:t>
      </w:r>
      <w:r w:rsidR="00E870AD">
        <w:rPr>
          <w:rFonts w:ascii="Candara" w:hAnsi="Candara"/>
          <w:sz w:val="22"/>
          <w:szCs w:val="22"/>
        </w:rPr>
        <w:t>19.</w:t>
      </w:r>
    </w:p>
    <w:p w:rsidR="000A605A" w:rsidRPr="008B286F" w:rsidRDefault="0064534B" w:rsidP="0064534B">
      <w:pPr>
        <w:spacing w:line="360" w:lineRule="atLeast"/>
        <w:jc w:val="both"/>
        <w:rPr>
          <w:rFonts w:ascii="Candara" w:hAnsi="Candara"/>
          <w:sz w:val="22"/>
          <w:szCs w:val="22"/>
        </w:rPr>
      </w:pPr>
      <w:r w:rsidRPr="00EB0436">
        <w:rPr>
          <w:rFonts w:ascii="Candara" w:hAnsi="Candara"/>
          <w:sz w:val="22"/>
          <w:szCs w:val="22"/>
        </w:rPr>
        <w:t xml:space="preserve"> </w:t>
      </w:r>
    </w:p>
    <w:p w:rsidR="008B286F" w:rsidRPr="008B286F" w:rsidRDefault="008B286F" w:rsidP="008B286F">
      <w:pPr>
        <w:spacing w:line="360" w:lineRule="atLeast"/>
        <w:jc w:val="both"/>
        <w:rPr>
          <w:rFonts w:ascii="Candara" w:hAnsi="Candara"/>
          <w:sz w:val="22"/>
          <w:szCs w:val="22"/>
        </w:rPr>
      </w:pPr>
      <w:r w:rsidRPr="008B286F">
        <w:rPr>
          <w:rFonts w:ascii="Candara" w:hAnsi="Candara"/>
          <w:sz w:val="22"/>
          <w:szCs w:val="22"/>
        </w:rPr>
        <w:t>Os gastos com o pessoal foram os seguintes:</w:t>
      </w:r>
    </w:p>
    <w:p w:rsidR="008B286F" w:rsidRPr="00C26B1F" w:rsidRDefault="008B286F" w:rsidP="008B286F">
      <w:pPr>
        <w:spacing w:line="360" w:lineRule="atLeast"/>
        <w:jc w:val="both"/>
        <w:rPr>
          <w:rFonts w:ascii="Candara" w:hAnsi="Candara"/>
          <w:sz w:val="22"/>
          <w:szCs w:val="22"/>
          <w:highlight w:val="yellow"/>
        </w:rPr>
      </w:pPr>
    </w:p>
    <w:bookmarkStart w:id="24" w:name="_MON_1545576560"/>
    <w:bookmarkEnd w:id="24"/>
    <w:p w:rsidR="008B286F" w:rsidRDefault="007046B9" w:rsidP="0064534B">
      <w:pPr>
        <w:spacing w:line="360" w:lineRule="atLeast"/>
        <w:jc w:val="both"/>
        <w:rPr>
          <w:rFonts w:ascii="Candara" w:hAnsi="Candara"/>
          <w:sz w:val="22"/>
          <w:szCs w:val="22"/>
        </w:rPr>
      </w:pPr>
      <w:r w:rsidRPr="00D05F1F">
        <w:rPr>
          <w:rFonts w:ascii="Candara" w:hAnsi="Candara"/>
          <w:sz w:val="22"/>
          <w:szCs w:val="22"/>
        </w:rPr>
        <w:object w:dxaOrig="8430" w:dyaOrig="2145">
          <v:shape id="_x0000_i1034" type="#_x0000_t75" style="width:467.25pt;height:108.75pt" o:ole="">
            <v:imagedata r:id="rId26" o:title=""/>
          </v:shape>
          <o:OLEObject Type="Embed" ProgID="Excel.Sheet.8" ShapeID="_x0000_i1034" DrawAspect="Content" ObjectID="_1550245065" r:id="rId27"/>
        </w:object>
      </w:r>
    </w:p>
    <w:p w:rsidR="00C324C4" w:rsidRPr="0064534B" w:rsidRDefault="00C324C4" w:rsidP="0064534B">
      <w:pPr>
        <w:spacing w:line="360" w:lineRule="atLeast"/>
        <w:jc w:val="both"/>
        <w:rPr>
          <w:rFonts w:ascii="Candara" w:hAnsi="Candara"/>
          <w:b/>
          <w:i/>
          <w:sz w:val="22"/>
          <w:szCs w:val="22"/>
          <w:highlight w:val="yellow"/>
        </w:rPr>
      </w:pPr>
    </w:p>
    <w:p w:rsidR="0064534B" w:rsidRPr="0064534B" w:rsidRDefault="000A605A" w:rsidP="0064534B">
      <w:pPr>
        <w:spacing w:line="360" w:lineRule="atLeast"/>
        <w:jc w:val="both"/>
        <w:rPr>
          <w:rFonts w:ascii="Candara" w:hAnsi="Candara"/>
          <w:b/>
          <w:i/>
          <w:sz w:val="22"/>
          <w:szCs w:val="22"/>
        </w:rPr>
      </w:pPr>
      <w:r>
        <w:rPr>
          <w:rFonts w:ascii="Candara" w:hAnsi="Candara"/>
          <w:b/>
          <w:i/>
          <w:sz w:val="22"/>
          <w:szCs w:val="22"/>
        </w:rPr>
        <w:t>11</w:t>
      </w:r>
      <w:r w:rsidR="0064534B" w:rsidRPr="0064534B">
        <w:rPr>
          <w:rFonts w:ascii="Candara" w:hAnsi="Candara"/>
          <w:b/>
          <w:i/>
          <w:sz w:val="22"/>
          <w:szCs w:val="22"/>
        </w:rPr>
        <w:t>.2 — Compromissos existentes em matéria de pensões.</w:t>
      </w:r>
    </w:p>
    <w:p w:rsidR="0064534B" w:rsidRPr="00D801D3" w:rsidRDefault="0064534B" w:rsidP="0064534B">
      <w:pPr>
        <w:spacing w:line="360" w:lineRule="atLeast"/>
        <w:jc w:val="both"/>
        <w:rPr>
          <w:rFonts w:ascii="Candara" w:hAnsi="Candara"/>
          <w:sz w:val="22"/>
          <w:szCs w:val="22"/>
        </w:rPr>
      </w:pPr>
      <w:r w:rsidRPr="0064534B">
        <w:rPr>
          <w:rFonts w:ascii="Candara" w:hAnsi="Candara"/>
          <w:sz w:val="22"/>
          <w:szCs w:val="22"/>
        </w:rPr>
        <w:t>Não existem quaisquer situações de benefícios pós-emprego (pensões) e outros benefícios a longo prazo de empregados.</w:t>
      </w:r>
    </w:p>
    <w:p w:rsidR="0064534B" w:rsidRPr="0064534B" w:rsidRDefault="0064534B" w:rsidP="0064534B">
      <w:pPr>
        <w:spacing w:line="360" w:lineRule="atLeast"/>
        <w:jc w:val="both"/>
        <w:rPr>
          <w:rFonts w:ascii="Candara" w:hAnsi="Candara"/>
          <w:b/>
          <w:i/>
          <w:sz w:val="22"/>
          <w:szCs w:val="22"/>
          <w:highlight w:val="yellow"/>
        </w:rPr>
      </w:pPr>
    </w:p>
    <w:p w:rsidR="0064534B" w:rsidRPr="00857869" w:rsidRDefault="00857869" w:rsidP="00857869">
      <w:pPr>
        <w:pStyle w:val="PargrafodaLista"/>
        <w:numPr>
          <w:ilvl w:val="1"/>
          <w:numId w:val="21"/>
        </w:numPr>
        <w:spacing w:line="360" w:lineRule="atLeast"/>
        <w:jc w:val="both"/>
        <w:rPr>
          <w:rFonts w:ascii="Candara" w:hAnsi="Candara"/>
          <w:b/>
          <w:i/>
          <w:sz w:val="22"/>
          <w:szCs w:val="22"/>
          <w:highlight w:val="yellow"/>
        </w:rPr>
      </w:pPr>
      <w:r w:rsidRPr="00857869">
        <w:rPr>
          <w:rFonts w:ascii="Candara" w:hAnsi="Candara"/>
          <w:b/>
          <w:i/>
          <w:sz w:val="22"/>
          <w:szCs w:val="22"/>
        </w:rPr>
        <w:t xml:space="preserve">— Membros dos órgãos </w:t>
      </w:r>
      <w:r w:rsidR="0064534B" w:rsidRPr="00857869">
        <w:rPr>
          <w:rFonts w:ascii="Candara" w:hAnsi="Candara"/>
          <w:b/>
          <w:i/>
          <w:sz w:val="22"/>
          <w:szCs w:val="22"/>
        </w:rPr>
        <w:t xml:space="preserve">de direção </w:t>
      </w:r>
    </w:p>
    <w:p w:rsidR="0064534B" w:rsidRPr="0064534B" w:rsidRDefault="00857869" w:rsidP="00857869">
      <w:pPr>
        <w:spacing w:line="276" w:lineRule="auto"/>
        <w:ind w:left="360"/>
        <w:jc w:val="both"/>
        <w:rPr>
          <w:rFonts w:ascii="Candara" w:hAnsi="Candara"/>
          <w:b/>
          <w:i/>
          <w:sz w:val="22"/>
          <w:szCs w:val="22"/>
        </w:rPr>
      </w:pPr>
      <w:r>
        <w:rPr>
          <w:rFonts w:ascii="Candara" w:hAnsi="Candara"/>
          <w:b/>
          <w:i/>
          <w:sz w:val="22"/>
          <w:szCs w:val="22"/>
        </w:rPr>
        <w:t xml:space="preserve"> </w:t>
      </w:r>
      <w:r w:rsidR="0064534B" w:rsidRPr="0064534B">
        <w:rPr>
          <w:rFonts w:ascii="Candara" w:hAnsi="Candara"/>
          <w:b/>
          <w:i/>
          <w:sz w:val="22"/>
          <w:szCs w:val="22"/>
        </w:rPr>
        <w:t>Remunerações dos órgãos de  direção</w:t>
      </w:r>
    </w:p>
    <w:p w:rsidR="00CC725D" w:rsidRPr="00CC725D" w:rsidRDefault="00857869" w:rsidP="00CC725D">
      <w:pPr>
        <w:spacing w:line="360" w:lineRule="atLeast"/>
        <w:ind w:firstLine="284"/>
        <w:jc w:val="both"/>
        <w:rPr>
          <w:rFonts w:ascii="Candara" w:hAnsi="Candara"/>
          <w:sz w:val="22"/>
          <w:szCs w:val="22"/>
        </w:rPr>
      </w:pPr>
      <w:r>
        <w:rPr>
          <w:rFonts w:ascii="Candara" w:hAnsi="Candara"/>
          <w:sz w:val="22"/>
          <w:szCs w:val="22"/>
        </w:rPr>
        <w:t xml:space="preserve">  </w:t>
      </w:r>
      <w:r w:rsidR="00CC725D" w:rsidRPr="00CC725D">
        <w:rPr>
          <w:rFonts w:ascii="Candara" w:hAnsi="Candara"/>
          <w:sz w:val="22"/>
          <w:szCs w:val="22"/>
        </w:rPr>
        <w:t>Os membros dos Órgãos diretivos não são remunerados por tais funções.</w:t>
      </w:r>
    </w:p>
    <w:p w:rsidR="0064534B" w:rsidRDefault="0064534B" w:rsidP="00304037">
      <w:pPr>
        <w:autoSpaceDE w:val="0"/>
        <w:autoSpaceDN w:val="0"/>
        <w:adjustRightInd w:val="0"/>
        <w:jc w:val="both"/>
        <w:rPr>
          <w:rFonts w:ascii="Candara" w:hAnsi="Candara" w:cs="TimesNewRomanPSMT"/>
          <w:b/>
          <w:color w:val="000000"/>
          <w:sz w:val="22"/>
          <w:szCs w:val="22"/>
          <w:highlight w:val="yellow"/>
        </w:rPr>
      </w:pPr>
    </w:p>
    <w:p w:rsidR="000A605A" w:rsidRDefault="000A605A" w:rsidP="00304037">
      <w:pPr>
        <w:autoSpaceDE w:val="0"/>
        <w:autoSpaceDN w:val="0"/>
        <w:adjustRightInd w:val="0"/>
        <w:jc w:val="both"/>
        <w:rPr>
          <w:rFonts w:ascii="Candara" w:hAnsi="Candara" w:cs="TimesNewRomanPSMT"/>
          <w:b/>
          <w:color w:val="000000"/>
          <w:sz w:val="22"/>
          <w:szCs w:val="22"/>
          <w:highlight w:val="yellow"/>
        </w:rPr>
      </w:pPr>
    </w:p>
    <w:p w:rsidR="00115ED9" w:rsidRDefault="00115ED9" w:rsidP="00857869">
      <w:pPr>
        <w:numPr>
          <w:ilvl w:val="0"/>
          <w:numId w:val="21"/>
        </w:numPr>
        <w:spacing w:line="360" w:lineRule="atLeast"/>
        <w:ind w:left="284" w:hanging="284"/>
        <w:jc w:val="both"/>
        <w:rPr>
          <w:rFonts w:ascii="Candara" w:hAnsi="Candara"/>
          <w:b/>
          <w:sz w:val="24"/>
          <w:szCs w:val="22"/>
        </w:rPr>
      </w:pPr>
      <w:r w:rsidRPr="00115ED9">
        <w:rPr>
          <w:rFonts w:ascii="Candara" w:hAnsi="Candara"/>
          <w:b/>
          <w:sz w:val="24"/>
          <w:szCs w:val="22"/>
        </w:rPr>
        <w:t>ACONTECIMENTOS APÓS A DATA DO BALANÇO</w:t>
      </w:r>
    </w:p>
    <w:p w:rsidR="00E5196A" w:rsidRDefault="00E5196A" w:rsidP="00E5196A">
      <w:pPr>
        <w:spacing w:line="360" w:lineRule="atLeast"/>
        <w:jc w:val="both"/>
        <w:rPr>
          <w:rFonts w:ascii="Candara" w:hAnsi="Candara"/>
          <w:b/>
          <w:sz w:val="24"/>
          <w:szCs w:val="22"/>
        </w:rPr>
      </w:pPr>
    </w:p>
    <w:p w:rsidR="00E5196A" w:rsidRPr="0064534B" w:rsidRDefault="000A605A" w:rsidP="00E5196A">
      <w:pPr>
        <w:spacing w:line="276" w:lineRule="auto"/>
        <w:jc w:val="both"/>
        <w:rPr>
          <w:rFonts w:ascii="Candara" w:hAnsi="Candara"/>
          <w:b/>
          <w:i/>
          <w:sz w:val="22"/>
          <w:szCs w:val="22"/>
        </w:rPr>
      </w:pPr>
      <w:r>
        <w:rPr>
          <w:rFonts w:ascii="Candara" w:hAnsi="Candara"/>
          <w:b/>
          <w:i/>
          <w:sz w:val="22"/>
          <w:szCs w:val="22"/>
        </w:rPr>
        <w:t>12</w:t>
      </w:r>
      <w:r w:rsidR="00E5196A">
        <w:rPr>
          <w:rFonts w:ascii="Candara" w:hAnsi="Candara"/>
          <w:b/>
          <w:i/>
          <w:sz w:val="22"/>
          <w:szCs w:val="22"/>
        </w:rPr>
        <w:t>.1</w:t>
      </w:r>
      <w:r w:rsidR="00E5196A" w:rsidRPr="0064534B">
        <w:rPr>
          <w:rFonts w:ascii="Candara" w:hAnsi="Candara"/>
          <w:b/>
          <w:i/>
          <w:sz w:val="22"/>
          <w:szCs w:val="22"/>
        </w:rPr>
        <w:t xml:space="preserve"> — </w:t>
      </w:r>
      <w:r w:rsidR="00E5196A" w:rsidRPr="00E5196A">
        <w:rPr>
          <w:rFonts w:ascii="Candara" w:hAnsi="Candara"/>
          <w:b/>
          <w:i/>
          <w:sz w:val="22"/>
          <w:szCs w:val="22"/>
        </w:rPr>
        <w:t>Natureza e efeitos financeiros dos eventos materiais</w:t>
      </w:r>
      <w:r w:rsidR="00E5196A">
        <w:rPr>
          <w:rFonts w:ascii="Candara" w:hAnsi="Candara"/>
          <w:b/>
          <w:i/>
          <w:sz w:val="22"/>
          <w:szCs w:val="22"/>
        </w:rPr>
        <w:t xml:space="preserve"> </w:t>
      </w:r>
      <w:r w:rsidR="00E5196A" w:rsidRPr="00E5196A">
        <w:rPr>
          <w:rFonts w:ascii="Candara" w:hAnsi="Candara"/>
          <w:b/>
          <w:i/>
          <w:sz w:val="22"/>
          <w:szCs w:val="22"/>
        </w:rPr>
        <w:t>surgidos após a data do balanço, não refletidos na</w:t>
      </w:r>
      <w:r w:rsidR="00E5196A">
        <w:rPr>
          <w:rFonts w:ascii="Candara" w:hAnsi="Candara"/>
          <w:b/>
          <w:i/>
          <w:sz w:val="22"/>
          <w:szCs w:val="22"/>
        </w:rPr>
        <w:t xml:space="preserve"> </w:t>
      </w:r>
      <w:r w:rsidR="00E5196A" w:rsidRPr="00E5196A">
        <w:rPr>
          <w:rFonts w:ascii="Candara" w:hAnsi="Candara"/>
          <w:b/>
          <w:i/>
          <w:sz w:val="22"/>
          <w:szCs w:val="22"/>
        </w:rPr>
        <w:t>demonstração de resultados nem no balanço</w:t>
      </w:r>
      <w:r w:rsidR="00E5196A" w:rsidRPr="0064534B">
        <w:rPr>
          <w:rFonts w:ascii="Candara" w:hAnsi="Candara"/>
          <w:b/>
          <w:i/>
          <w:sz w:val="22"/>
          <w:szCs w:val="22"/>
        </w:rPr>
        <w:t>:</w:t>
      </w:r>
    </w:p>
    <w:p w:rsidR="00115ED9" w:rsidRPr="00115ED9" w:rsidRDefault="00115ED9" w:rsidP="00115ED9">
      <w:pPr>
        <w:spacing w:line="360" w:lineRule="atLeast"/>
        <w:jc w:val="both"/>
        <w:rPr>
          <w:rFonts w:ascii="Candara" w:hAnsi="Candara"/>
          <w:sz w:val="22"/>
          <w:szCs w:val="22"/>
        </w:rPr>
      </w:pPr>
      <w:r w:rsidRPr="00115ED9">
        <w:rPr>
          <w:rFonts w:ascii="Candara" w:hAnsi="Candara"/>
          <w:sz w:val="22"/>
          <w:szCs w:val="22"/>
        </w:rPr>
        <w:t>As demonstrações financeiras para o exercício findo em 31 de Dezembro de 201</w:t>
      </w:r>
      <w:r>
        <w:rPr>
          <w:rFonts w:ascii="Candara" w:hAnsi="Candara"/>
          <w:sz w:val="22"/>
          <w:szCs w:val="22"/>
        </w:rPr>
        <w:t>6</w:t>
      </w:r>
      <w:r w:rsidRPr="00115ED9">
        <w:rPr>
          <w:rFonts w:ascii="Candara" w:hAnsi="Candara"/>
          <w:sz w:val="22"/>
          <w:szCs w:val="22"/>
        </w:rPr>
        <w:t xml:space="preserve"> foram aprovadas </w:t>
      </w:r>
      <w:r w:rsidR="00857869">
        <w:rPr>
          <w:rFonts w:ascii="Candara" w:hAnsi="Candara"/>
          <w:sz w:val="22"/>
          <w:szCs w:val="22"/>
        </w:rPr>
        <w:t>pela Direção</w:t>
      </w:r>
      <w:r w:rsidRPr="00822BCF">
        <w:rPr>
          <w:rFonts w:ascii="Candara" w:hAnsi="Candara"/>
          <w:sz w:val="22"/>
          <w:szCs w:val="22"/>
        </w:rPr>
        <w:t xml:space="preserve"> </w:t>
      </w:r>
      <w:r w:rsidRPr="00115ED9">
        <w:rPr>
          <w:rFonts w:ascii="Candara" w:hAnsi="Candara"/>
          <w:sz w:val="22"/>
          <w:szCs w:val="22"/>
        </w:rPr>
        <w:t>Após o encerramento do exercício, e até à elaboração das presentes demonstrações financeiras, não se registaram outros factos suscetíveis de modificar a situação relevada nas contas.</w:t>
      </w:r>
    </w:p>
    <w:p w:rsidR="0043290A" w:rsidRPr="00C26B1F" w:rsidRDefault="0043290A" w:rsidP="00304037">
      <w:pPr>
        <w:autoSpaceDE w:val="0"/>
        <w:autoSpaceDN w:val="0"/>
        <w:adjustRightInd w:val="0"/>
        <w:jc w:val="both"/>
        <w:rPr>
          <w:rFonts w:ascii="Candara" w:hAnsi="Candara" w:cs="TimesNewRomanPSMT"/>
          <w:b/>
          <w:color w:val="000000"/>
          <w:sz w:val="22"/>
          <w:szCs w:val="22"/>
          <w:highlight w:val="yellow"/>
        </w:rPr>
      </w:pPr>
    </w:p>
    <w:p w:rsidR="00517373" w:rsidRPr="00AF5C59" w:rsidRDefault="00F974AD" w:rsidP="00857869">
      <w:pPr>
        <w:numPr>
          <w:ilvl w:val="0"/>
          <w:numId w:val="21"/>
        </w:numPr>
        <w:spacing w:line="360" w:lineRule="atLeast"/>
        <w:ind w:left="284" w:hanging="284"/>
        <w:jc w:val="both"/>
        <w:rPr>
          <w:rFonts w:ascii="Candara" w:hAnsi="Candara"/>
          <w:b/>
          <w:sz w:val="24"/>
          <w:szCs w:val="22"/>
        </w:rPr>
      </w:pPr>
      <w:r w:rsidRPr="00AF5C59">
        <w:rPr>
          <w:rFonts w:ascii="Candara" w:hAnsi="Candara"/>
          <w:b/>
          <w:sz w:val="24"/>
          <w:szCs w:val="22"/>
        </w:rPr>
        <w:t>DIVULGAÇÕES EXIGIDAS POR OUTROS DIPLOMAS LEGAIS</w:t>
      </w:r>
    </w:p>
    <w:p w:rsidR="00962DF6" w:rsidRPr="00962DF6" w:rsidRDefault="00962DF6" w:rsidP="00962DF6">
      <w:pPr>
        <w:spacing w:line="276" w:lineRule="auto"/>
        <w:jc w:val="both"/>
        <w:rPr>
          <w:rFonts w:ascii="Candara" w:hAnsi="Candara"/>
          <w:b/>
          <w:i/>
          <w:sz w:val="22"/>
          <w:szCs w:val="22"/>
        </w:rPr>
      </w:pPr>
      <w:r>
        <w:rPr>
          <w:rFonts w:ascii="Candara" w:hAnsi="Candara"/>
          <w:b/>
          <w:i/>
          <w:sz w:val="22"/>
          <w:szCs w:val="22"/>
        </w:rPr>
        <w:t>1</w:t>
      </w:r>
      <w:r w:rsidR="000A605A">
        <w:rPr>
          <w:rFonts w:ascii="Candara" w:hAnsi="Candara"/>
          <w:b/>
          <w:i/>
          <w:sz w:val="22"/>
          <w:szCs w:val="22"/>
        </w:rPr>
        <w:t>3</w:t>
      </w:r>
      <w:r>
        <w:rPr>
          <w:rFonts w:ascii="Candara" w:hAnsi="Candara"/>
          <w:b/>
          <w:i/>
          <w:sz w:val="22"/>
          <w:szCs w:val="22"/>
        </w:rPr>
        <w:t>.</w:t>
      </w:r>
      <w:r w:rsidR="000A605A">
        <w:rPr>
          <w:rFonts w:ascii="Candara" w:hAnsi="Candara"/>
          <w:b/>
          <w:i/>
          <w:sz w:val="22"/>
          <w:szCs w:val="22"/>
        </w:rPr>
        <w:t>1</w:t>
      </w:r>
      <w:r w:rsidRPr="00962DF6">
        <w:rPr>
          <w:rFonts w:ascii="Candara" w:hAnsi="Candara"/>
          <w:b/>
          <w:i/>
          <w:sz w:val="22"/>
          <w:szCs w:val="22"/>
        </w:rPr>
        <w:t xml:space="preserve"> — </w:t>
      </w:r>
      <w:r>
        <w:rPr>
          <w:rFonts w:ascii="Candara" w:hAnsi="Candara"/>
          <w:b/>
          <w:i/>
          <w:sz w:val="22"/>
          <w:szCs w:val="22"/>
        </w:rPr>
        <w:t>Situação tributária e contributiva</w:t>
      </w:r>
    </w:p>
    <w:p w:rsidR="004012A1" w:rsidRPr="00962DF6" w:rsidRDefault="004012A1" w:rsidP="00304037">
      <w:pPr>
        <w:spacing w:line="360" w:lineRule="atLeast"/>
        <w:jc w:val="both"/>
        <w:rPr>
          <w:rFonts w:ascii="Candara" w:hAnsi="Candara"/>
          <w:sz w:val="22"/>
          <w:szCs w:val="22"/>
        </w:rPr>
      </w:pPr>
      <w:r w:rsidRPr="00962DF6">
        <w:rPr>
          <w:rFonts w:ascii="Candara" w:hAnsi="Candara"/>
          <w:sz w:val="22"/>
          <w:szCs w:val="22"/>
        </w:rPr>
        <w:t>A entidade não apresenta dívidas ao Estado em situação de mora, nos termos do Decreto-Lei 534/80, de 7 de Novembro.</w:t>
      </w:r>
    </w:p>
    <w:p w:rsidR="004012A1" w:rsidRPr="00962DF6" w:rsidRDefault="004012A1" w:rsidP="00304037">
      <w:pPr>
        <w:spacing w:line="360" w:lineRule="atLeast"/>
        <w:jc w:val="both"/>
        <w:rPr>
          <w:rFonts w:ascii="Candara" w:hAnsi="Candara"/>
          <w:sz w:val="22"/>
          <w:szCs w:val="22"/>
        </w:rPr>
      </w:pPr>
      <w:r w:rsidRPr="00962DF6">
        <w:rPr>
          <w:rFonts w:ascii="Candara" w:hAnsi="Candara"/>
          <w:sz w:val="22"/>
          <w:szCs w:val="22"/>
        </w:rPr>
        <w:t xml:space="preserve">Dando cumprimento ao estabelecido no </w:t>
      </w:r>
      <w:r w:rsidR="007E3D2D" w:rsidRPr="00962DF6">
        <w:rPr>
          <w:rFonts w:ascii="Candara" w:hAnsi="Candara"/>
          <w:sz w:val="22"/>
          <w:szCs w:val="22"/>
        </w:rPr>
        <w:t>artigo 210º da Lei n.º 110/2009, de 16 de Setembro (Código Contributivo)</w:t>
      </w:r>
      <w:r w:rsidRPr="00962DF6">
        <w:rPr>
          <w:rFonts w:ascii="Candara" w:hAnsi="Candara"/>
          <w:sz w:val="22"/>
          <w:szCs w:val="22"/>
        </w:rPr>
        <w:t>, informa-se que a situação da Entidade perante a Segurança Social se encontra regularizada, dentro dos prazos legalmente estipulados.</w:t>
      </w:r>
    </w:p>
    <w:p w:rsidR="006738E6" w:rsidRPr="00BF3768" w:rsidRDefault="006738E6" w:rsidP="00304037">
      <w:pPr>
        <w:autoSpaceDE w:val="0"/>
        <w:autoSpaceDN w:val="0"/>
        <w:adjustRightInd w:val="0"/>
        <w:jc w:val="both"/>
        <w:rPr>
          <w:rFonts w:ascii="Candara" w:hAnsi="Candara" w:cs="TimesNewRomanPSMT"/>
          <w:b/>
          <w:color w:val="151515"/>
          <w:sz w:val="22"/>
          <w:szCs w:val="22"/>
        </w:rPr>
      </w:pPr>
    </w:p>
    <w:p w:rsidR="00517373" w:rsidRPr="00BF3768" w:rsidRDefault="00BF3768" w:rsidP="00857869">
      <w:pPr>
        <w:numPr>
          <w:ilvl w:val="0"/>
          <w:numId w:val="21"/>
        </w:numPr>
        <w:spacing w:line="360" w:lineRule="atLeast"/>
        <w:ind w:left="284" w:hanging="284"/>
        <w:jc w:val="both"/>
        <w:rPr>
          <w:rFonts w:ascii="Candara" w:hAnsi="Candara"/>
          <w:b/>
          <w:sz w:val="24"/>
          <w:szCs w:val="22"/>
        </w:rPr>
      </w:pPr>
      <w:r w:rsidRPr="00BF3768">
        <w:rPr>
          <w:rFonts w:ascii="Candara" w:hAnsi="Candara"/>
          <w:b/>
          <w:sz w:val="24"/>
          <w:szCs w:val="22"/>
        </w:rPr>
        <w:t>OUTRAS DIVULGAÇÕES</w:t>
      </w:r>
    </w:p>
    <w:p w:rsidR="00BF3768" w:rsidRPr="00BF3768" w:rsidRDefault="00BF3768" w:rsidP="00304037">
      <w:pPr>
        <w:spacing w:line="360" w:lineRule="atLeast"/>
        <w:jc w:val="both"/>
        <w:rPr>
          <w:rFonts w:ascii="Candara" w:hAnsi="Candara"/>
          <w:b/>
          <w:i/>
          <w:sz w:val="22"/>
          <w:szCs w:val="22"/>
        </w:rPr>
      </w:pPr>
    </w:p>
    <w:p w:rsidR="00BF3768" w:rsidRPr="00BF3768" w:rsidRDefault="00BF3768" w:rsidP="00BF3768">
      <w:pPr>
        <w:spacing w:line="276" w:lineRule="auto"/>
        <w:jc w:val="both"/>
        <w:rPr>
          <w:rFonts w:ascii="Candara" w:hAnsi="Candara"/>
          <w:b/>
          <w:i/>
          <w:sz w:val="22"/>
          <w:szCs w:val="22"/>
        </w:rPr>
      </w:pPr>
      <w:r w:rsidRPr="00BF3768">
        <w:rPr>
          <w:rFonts w:ascii="Candara" w:hAnsi="Candara"/>
          <w:b/>
          <w:i/>
          <w:sz w:val="22"/>
          <w:szCs w:val="22"/>
        </w:rPr>
        <w:t>1</w:t>
      </w:r>
      <w:r w:rsidR="000A605A">
        <w:rPr>
          <w:rFonts w:ascii="Candara" w:hAnsi="Candara"/>
          <w:b/>
          <w:i/>
          <w:sz w:val="22"/>
          <w:szCs w:val="22"/>
        </w:rPr>
        <w:t>4</w:t>
      </w:r>
      <w:r w:rsidRPr="00BF3768">
        <w:rPr>
          <w:rFonts w:ascii="Candara" w:hAnsi="Candara"/>
          <w:b/>
          <w:i/>
          <w:sz w:val="22"/>
          <w:szCs w:val="22"/>
        </w:rPr>
        <w:t>.</w:t>
      </w:r>
      <w:r w:rsidR="000A605A">
        <w:rPr>
          <w:rFonts w:ascii="Candara" w:hAnsi="Candara"/>
          <w:b/>
          <w:i/>
          <w:sz w:val="22"/>
          <w:szCs w:val="22"/>
        </w:rPr>
        <w:t>1</w:t>
      </w:r>
      <w:r w:rsidRPr="00BF3768">
        <w:rPr>
          <w:rFonts w:ascii="Candara" w:hAnsi="Candara"/>
          <w:b/>
          <w:i/>
          <w:sz w:val="22"/>
          <w:szCs w:val="22"/>
        </w:rPr>
        <w:t xml:space="preserve"> — Outras divulgações consideradas relevantes</w:t>
      </w:r>
      <w:r>
        <w:rPr>
          <w:rFonts w:ascii="Candara" w:hAnsi="Candara"/>
          <w:b/>
          <w:i/>
          <w:sz w:val="22"/>
          <w:szCs w:val="22"/>
        </w:rPr>
        <w:t xml:space="preserve"> </w:t>
      </w:r>
      <w:r w:rsidRPr="00BF3768">
        <w:rPr>
          <w:rFonts w:ascii="Candara" w:hAnsi="Candara"/>
          <w:b/>
          <w:i/>
          <w:sz w:val="22"/>
          <w:szCs w:val="22"/>
        </w:rPr>
        <w:t>para melhor compreensão da posição financeira e dos</w:t>
      </w:r>
      <w:r>
        <w:rPr>
          <w:rFonts w:ascii="Candara" w:hAnsi="Candara"/>
          <w:b/>
          <w:i/>
          <w:sz w:val="22"/>
          <w:szCs w:val="22"/>
        </w:rPr>
        <w:t xml:space="preserve"> </w:t>
      </w:r>
      <w:r w:rsidRPr="00BF3768">
        <w:rPr>
          <w:rFonts w:ascii="Candara" w:hAnsi="Candara"/>
          <w:b/>
          <w:i/>
          <w:sz w:val="22"/>
          <w:szCs w:val="22"/>
        </w:rPr>
        <w:t>resultados.</w:t>
      </w:r>
    </w:p>
    <w:p w:rsidR="005C074E" w:rsidRPr="00D05F1F" w:rsidRDefault="00780C29" w:rsidP="00304037">
      <w:pPr>
        <w:spacing w:line="360" w:lineRule="atLeast"/>
        <w:jc w:val="both"/>
        <w:rPr>
          <w:rFonts w:ascii="Candara" w:hAnsi="Candara"/>
          <w:b/>
          <w:i/>
          <w:sz w:val="22"/>
          <w:szCs w:val="22"/>
        </w:rPr>
      </w:pPr>
      <w:r w:rsidRPr="00D05F1F">
        <w:rPr>
          <w:rFonts w:ascii="Candara" w:hAnsi="Candara"/>
          <w:b/>
          <w:i/>
          <w:sz w:val="22"/>
          <w:szCs w:val="22"/>
        </w:rPr>
        <w:t>1</w:t>
      </w:r>
      <w:r w:rsidR="000A605A">
        <w:rPr>
          <w:rFonts w:ascii="Candara" w:hAnsi="Candara"/>
          <w:b/>
          <w:i/>
          <w:sz w:val="22"/>
          <w:szCs w:val="22"/>
        </w:rPr>
        <w:t>4</w:t>
      </w:r>
      <w:r w:rsidRPr="00D05F1F">
        <w:rPr>
          <w:rFonts w:ascii="Candara" w:hAnsi="Candara"/>
          <w:b/>
          <w:i/>
          <w:sz w:val="22"/>
          <w:szCs w:val="22"/>
        </w:rPr>
        <w:t>.</w:t>
      </w:r>
      <w:r w:rsidR="000A605A">
        <w:rPr>
          <w:rFonts w:ascii="Candara" w:hAnsi="Candara"/>
          <w:b/>
          <w:i/>
          <w:sz w:val="22"/>
          <w:szCs w:val="22"/>
        </w:rPr>
        <w:t>1</w:t>
      </w:r>
      <w:r w:rsidRPr="00D05F1F">
        <w:rPr>
          <w:rFonts w:ascii="Candara" w:hAnsi="Candara"/>
          <w:b/>
          <w:i/>
          <w:sz w:val="22"/>
          <w:szCs w:val="22"/>
        </w:rPr>
        <w:t xml:space="preserve">.1 </w:t>
      </w:r>
      <w:r w:rsidR="005C074E" w:rsidRPr="00D05F1F">
        <w:rPr>
          <w:rFonts w:ascii="Candara" w:hAnsi="Candara"/>
          <w:b/>
          <w:i/>
          <w:sz w:val="22"/>
          <w:szCs w:val="22"/>
        </w:rPr>
        <w:t>– Diferimentos</w:t>
      </w:r>
    </w:p>
    <w:p w:rsidR="005C074E" w:rsidRPr="002818D6" w:rsidRDefault="005C074E" w:rsidP="00304037">
      <w:pPr>
        <w:spacing w:line="360" w:lineRule="atLeast"/>
        <w:jc w:val="both"/>
        <w:rPr>
          <w:rFonts w:ascii="Candara" w:hAnsi="Candara"/>
          <w:sz w:val="22"/>
          <w:szCs w:val="22"/>
        </w:rPr>
      </w:pPr>
      <w:r w:rsidRPr="002818D6">
        <w:rPr>
          <w:rFonts w:ascii="Candara" w:hAnsi="Candara"/>
          <w:sz w:val="22"/>
          <w:szCs w:val="22"/>
        </w:rPr>
        <w:t xml:space="preserve">A conta de diferimentos engloba gastos com </w:t>
      </w:r>
      <w:proofErr w:type="spellStart"/>
      <w:r w:rsidR="00857869">
        <w:rPr>
          <w:rFonts w:ascii="Candara" w:hAnsi="Candara"/>
          <w:sz w:val="22"/>
          <w:szCs w:val="22"/>
        </w:rPr>
        <w:t>sub</w:t>
      </w:r>
      <w:proofErr w:type="spellEnd"/>
      <w:r w:rsidR="00857869">
        <w:rPr>
          <w:rFonts w:ascii="Candara" w:hAnsi="Candara"/>
          <w:sz w:val="22"/>
          <w:szCs w:val="22"/>
        </w:rPr>
        <w:t xml:space="preserve"> ferias</w:t>
      </w:r>
      <w:r w:rsidRPr="002818D6">
        <w:rPr>
          <w:rFonts w:ascii="Candara" w:hAnsi="Candara"/>
          <w:sz w:val="22"/>
          <w:szCs w:val="22"/>
        </w:rPr>
        <w:t xml:space="preserve"> a serem reconhecidos na demonstração de resultados do período de 201</w:t>
      </w:r>
      <w:r w:rsidR="0069634D" w:rsidRPr="002818D6">
        <w:rPr>
          <w:rFonts w:ascii="Candara" w:hAnsi="Candara"/>
          <w:sz w:val="22"/>
          <w:szCs w:val="22"/>
        </w:rPr>
        <w:t>7</w:t>
      </w:r>
      <w:r w:rsidR="002E1CAF" w:rsidRPr="002818D6">
        <w:rPr>
          <w:rFonts w:ascii="Candara" w:hAnsi="Candara"/>
          <w:sz w:val="22"/>
          <w:szCs w:val="22"/>
        </w:rPr>
        <w:t>,</w:t>
      </w:r>
      <w:r w:rsidRPr="002818D6">
        <w:rPr>
          <w:rFonts w:ascii="Candara" w:hAnsi="Candara"/>
          <w:sz w:val="22"/>
          <w:szCs w:val="22"/>
        </w:rPr>
        <w:t xml:space="preserve"> de acordo com o princípio do acréscimo (especialização dos exercícios) </w:t>
      </w:r>
      <w:r w:rsidR="00857869">
        <w:rPr>
          <w:rFonts w:ascii="Candara" w:hAnsi="Candara"/>
          <w:sz w:val="22"/>
          <w:szCs w:val="22"/>
        </w:rPr>
        <w:t xml:space="preserve"> registados  na conta 28193.</w:t>
      </w:r>
    </w:p>
    <w:p w:rsidR="005C074E" w:rsidRPr="00825BE1" w:rsidRDefault="000A605A" w:rsidP="00304037">
      <w:pPr>
        <w:spacing w:line="360" w:lineRule="atLeast"/>
        <w:jc w:val="both"/>
        <w:rPr>
          <w:rFonts w:ascii="Candara" w:hAnsi="Candara"/>
          <w:b/>
          <w:i/>
          <w:sz w:val="22"/>
          <w:szCs w:val="22"/>
        </w:rPr>
      </w:pPr>
      <w:r>
        <w:rPr>
          <w:rFonts w:ascii="Candara" w:hAnsi="Candara"/>
          <w:b/>
          <w:i/>
          <w:sz w:val="22"/>
          <w:szCs w:val="22"/>
        </w:rPr>
        <w:t>14</w:t>
      </w:r>
      <w:r w:rsidR="005C074E" w:rsidRPr="00825BE1">
        <w:rPr>
          <w:rFonts w:ascii="Candara" w:hAnsi="Candara"/>
          <w:b/>
          <w:i/>
          <w:sz w:val="22"/>
          <w:szCs w:val="22"/>
        </w:rPr>
        <w:t>.</w:t>
      </w:r>
      <w:r>
        <w:rPr>
          <w:rFonts w:ascii="Candara" w:hAnsi="Candara"/>
          <w:b/>
          <w:i/>
          <w:sz w:val="22"/>
          <w:szCs w:val="22"/>
        </w:rPr>
        <w:t>1</w:t>
      </w:r>
      <w:r w:rsidR="00780C29" w:rsidRPr="00825BE1">
        <w:rPr>
          <w:rFonts w:ascii="Candara" w:hAnsi="Candara"/>
          <w:b/>
          <w:i/>
          <w:sz w:val="22"/>
          <w:szCs w:val="22"/>
        </w:rPr>
        <w:t>.2</w:t>
      </w:r>
      <w:r w:rsidR="005C074E" w:rsidRPr="00825BE1">
        <w:rPr>
          <w:rFonts w:ascii="Candara" w:hAnsi="Candara"/>
          <w:b/>
          <w:i/>
          <w:sz w:val="22"/>
          <w:szCs w:val="22"/>
        </w:rPr>
        <w:t xml:space="preserve"> – Estado e outros entes públicos</w:t>
      </w:r>
    </w:p>
    <w:p w:rsidR="005C074E" w:rsidRPr="00825BE1" w:rsidRDefault="00AF6CE6" w:rsidP="00304037">
      <w:pPr>
        <w:spacing w:line="360" w:lineRule="atLeast"/>
        <w:jc w:val="both"/>
        <w:rPr>
          <w:rFonts w:ascii="Candara" w:hAnsi="Candara"/>
          <w:sz w:val="22"/>
          <w:szCs w:val="22"/>
        </w:rPr>
      </w:pPr>
      <w:r w:rsidRPr="00825BE1">
        <w:rPr>
          <w:rFonts w:ascii="Candara" w:hAnsi="Candara"/>
          <w:sz w:val="22"/>
          <w:szCs w:val="22"/>
        </w:rPr>
        <w:lastRenderedPageBreak/>
        <w:t>Em 31 de Dezembro de 201</w:t>
      </w:r>
      <w:r w:rsidR="0069634D" w:rsidRPr="00825BE1">
        <w:rPr>
          <w:rFonts w:ascii="Candara" w:hAnsi="Candara"/>
          <w:sz w:val="22"/>
          <w:szCs w:val="22"/>
        </w:rPr>
        <w:t>6</w:t>
      </w:r>
      <w:r w:rsidR="005C074E" w:rsidRPr="00825BE1">
        <w:rPr>
          <w:rFonts w:ascii="Candara" w:hAnsi="Candara"/>
          <w:sz w:val="22"/>
          <w:szCs w:val="22"/>
        </w:rPr>
        <w:t xml:space="preserve"> e 201</w:t>
      </w:r>
      <w:r w:rsidR="0069634D" w:rsidRPr="00825BE1">
        <w:rPr>
          <w:rFonts w:ascii="Candara" w:hAnsi="Candara"/>
          <w:sz w:val="22"/>
          <w:szCs w:val="22"/>
        </w:rPr>
        <w:t>5</w:t>
      </w:r>
      <w:r w:rsidR="005C074E" w:rsidRPr="00825BE1">
        <w:rPr>
          <w:rFonts w:ascii="Candara" w:hAnsi="Candara"/>
          <w:sz w:val="22"/>
          <w:szCs w:val="22"/>
        </w:rPr>
        <w:t>, a rubrica de «Estado e outros entes públicos» apresentava a seguinte decomposição:</w:t>
      </w:r>
    </w:p>
    <w:p w:rsidR="0043290A" w:rsidRPr="00C26B1F" w:rsidRDefault="0043290A" w:rsidP="00304037">
      <w:pPr>
        <w:jc w:val="both"/>
        <w:rPr>
          <w:rFonts w:ascii="Candara" w:hAnsi="Candara"/>
          <w:b/>
          <w:i/>
          <w:sz w:val="22"/>
          <w:szCs w:val="22"/>
          <w:highlight w:val="yellow"/>
        </w:rPr>
      </w:pPr>
    </w:p>
    <w:bookmarkStart w:id="25" w:name="_MON_1399356478"/>
    <w:bookmarkStart w:id="26" w:name="_MON_1391265212"/>
    <w:bookmarkEnd w:id="25"/>
    <w:bookmarkEnd w:id="26"/>
    <w:bookmarkStart w:id="27" w:name="_MON_1391265259"/>
    <w:bookmarkEnd w:id="27"/>
    <w:p w:rsidR="005C074E" w:rsidRDefault="007046B9" w:rsidP="00304037">
      <w:pPr>
        <w:jc w:val="both"/>
        <w:rPr>
          <w:szCs w:val="22"/>
        </w:rPr>
      </w:pPr>
      <w:r w:rsidRPr="000F6E46">
        <w:rPr>
          <w:szCs w:val="22"/>
        </w:rPr>
        <w:object w:dxaOrig="13530" w:dyaOrig="5745">
          <v:shape id="_x0000_i1035" type="#_x0000_t75" style="width:466.5pt;height:222.75pt" o:ole="">
            <v:imagedata r:id="rId28" o:title=""/>
          </v:shape>
          <o:OLEObject Type="Embed" ProgID="Excel.Sheet.8" ShapeID="_x0000_i1035" DrawAspect="Content" ObjectID="_1550245066" r:id="rId29"/>
        </w:object>
      </w:r>
    </w:p>
    <w:p w:rsidR="006738E6" w:rsidRDefault="006738E6" w:rsidP="00304037">
      <w:pPr>
        <w:jc w:val="both"/>
        <w:rPr>
          <w:szCs w:val="22"/>
          <w:highlight w:val="yellow"/>
        </w:rPr>
      </w:pPr>
    </w:p>
    <w:p w:rsidR="008719AB" w:rsidRPr="00C26B1F" w:rsidRDefault="008719AB" w:rsidP="00304037">
      <w:pPr>
        <w:jc w:val="both"/>
        <w:rPr>
          <w:szCs w:val="22"/>
          <w:highlight w:val="yellow"/>
        </w:rPr>
      </w:pPr>
    </w:p>
    <w:p w:rsidR="00B3342A" w:rsidRPr="00C26B1F" w:rsidRDefault="00B3342A" w:rsidP="00304037">
      <w:pPr>
        <w:jc w:val="both"/>
        <w:rPr>
          <w:szCs w:val="22"/>
          <w:highlight w:val="yellow"/>
        </w:rPr>
      </w:pPr>
    </w:p>
    <w:p w:rsidR="00B77943" w:rsidRPr="000F6E46" w:rsidRDefault="00B77943" w:rsidP="00304037">
      <w:pPr>
        <w:spacing w:line="360" w:lineRule="atLeast"/>
        <w:jc w:val="both"/>
        <w:rPr>
          <w:rFonts w:ascii="Candara" w:hAnsi="Candara"/>
          <w:b/>
          <w:i/>
          <w:sz w:val="22"/>
          <w:szCs w:val="22"/>
        </w:rPr>
      </w:pPr>
      <w:r w:rsidRPr="000F6E46">
        <w:rPr>
          <w:rFonts w:ascii="Candara" w:hAnsi="Candara"/>
          <w:b/>
          <w:i/>
          <w:sz w:val="22"/>
          <w:szCs w:val="22"/>
        </w:rPr>
        <w:t>1</w:t>
      </w:r>
      <w:r w:rsidR="000A605A">
        <w:rPr>
          <w:rFonts w:ascii="Candara" w:hAnsi="Candara"/>
          <w:b/>
          <w:i/>
          <w:sz w:val="22"/>
          <w:szCs w:val="22"/>
        </w:rPr>
        <w:t>4</w:t>
      </w:r>
      <w:r w:rsidRPr="000F6E46">
        <w:rPr>
          <w:rFonts w:ascii="Candara" w:hAnsi="Candara"/>
          <w:b/>
          <w:i/>
          <w:sz w:val="22"/>
          <w:szCs w:val="22"/>
        </w:rPr>
        <w:t>.</w:t>
      </w:r>
      <w:r w:rsidR="000A605A">
        <w:rPr>
          <w:rFonts w:ascii="Candara" w:hAnsi="Candara"/>
          <w:b/>
          <w:i/>
          <w:sz w:val="22"/>
          <w:szCs w:val="22"/>
        </w:rPr>
        <w:t>1</w:t>
      </w:r>
      <w:r w:rsidR="00780C29" w:rsidRPr="000F6E46">
        <w:rPr>
          <w:rFonts w:ascii="Candara" w:hAnsi="Candara"/>
          <w:b/>
          <w:i/>
          <w:sz w:val="22"/>
          <w:szCs w:val="22"/>
        </w:rPr>
        <w:t>.</w:t>
      </w:r>
      <w:r w:rsidR="000A605A">
        <w:rPr>
          <w:rFonts w:ascii="Candara" w:hAnsi="Candara"/>
          <w:b/>
          <w:i/>
          <w:sz w:val="22"/>
          <w:szCs w:val="22"/>
        </w:rPr>
        <w:t>3</w:t>
      </w:r>
      <w:r w:rsidRPr="000F6E46">
        <w:rPr>
          <w:rFonts w:ascii="Candara" w:hAnsi="Candara"/>
          <w:b/>
          <w:i/>
          <w:sz w:val="22"/>
          <w:szCs w:val="22"/>
        </w:rPr>
        <w:t xml:space="preserve"> – Outros gastos e perdas / Outros rendimentos e ganhos</w:t>
      </w:r>
    </w:p>
    <w:p w:rsidR="00B77943" w:rsidRPr="000F6E46" w:rsidRDefault="00B77943" w:rsidP="00304037">
      <w:pPr>
        <w:jc w:val="both"/>
        <w:rPr>
          <w:rFonts w:ascii="Candara" w:hAnsi="Candara"/>
          <w:b/>
          <w:i/>
          <w:sz w:val="22"/>
          <w:szCs w:val="22"/>
        </w:rPr>
      </w:pPr>
    </w:p>
    <w:p w:rsidR="00B77943" w:rsidRPr="000F6E46" w:rsidRDefault="00B77943" w:rsidP="00304037">
      <w:pPr>
        <w:spacing w:line="360" w:lineRule="atLeast"/>
        <w:jc w:val="both"/>
        <w:rPr>
          <w:rFonts w:ascii="Candara" w:hAnsi="Candara"/>
          <w:sz w:val="22"/>
          <w:szCs w:val="22"/>
        </w:rPr>
      </w:pPr>
      <w:r w:rsidRPr="000F6E46">
        <w:rPr>
          <w:rFonts w:ascii="Candara" w:hAnsi="Candara"/>
          <w:sz w:val="22"/>
          <w:szCs w:val="22"/>
        </w:rPr>
        <w:t>Em 31 de Dezembro de 201</w:t>
      </w:r>
      <w:r w:rsidR="0069634D" w:rsidRPr="000F6E46">
        <w:rPr>
          <w:rFonts w:ascii="Candara" w:hAnsi="Candara"/>
          <w:sz w:val="22"/>
          <w:szCs w:val="22"/>
        </w:rPr>
        <w:t>6 e 2015</w:t>
      </w:r>
      <w:r w:rsidRPr="000F6E46">
        <w:rPr>
          <w:rFonts w:ascii="Candara" w:hAnsi="Candara"/>
          <w:sz w:val="22"/>
          <w:szCs w:val="22"/>
        </w:rPr>
        <w:t xml:space="preserve">, as rubricas da demonstração de resultados </w:t>
      </w:r>
      <w:r w:rsidRPr="000F6E46">
        <w:rPr>
          <w:rFonts w:ascii="Candara" w:hAnsi="Candara"/>
          <w:i/>
          <w:sz w:val="22"/>
          <w:szCs w:val="22"/>
        </w:rPr>
        <w:t>Outros gastos e perdas</w:t>
      </w:r>
      <w:r w:rsidRPr="000F6E46">
        <w:rPr>
          <w:rFonts w:ascii="Candara" w:hAnsi="Candara"/>
          <w:sz w:val="22"/>
          <w:szCs w:val="22"/>
        </w:rPr>
        <w:t xml:space="preserve"> e </w:t>
      </w:r>
      <w:r w:rsidRPr="000F6E46">
        <w:rPr>
          <w:rFonts w:ascii="Candara" w:hAnsi="Candara"/>
          <w:i/>
          <w:sz w:val="22"/>
          <w:szCs w:val="22"/>
        </w:rPr>
        <w:t xml:space="preserve">Outros rendimentos e ganhos e </w:t>
      </w:r>
      <w:r w:rsidRPr="000F6E46">
        <w:rPr>
          <w:rFonts w:ascii="Candara" w:hAnsi="Candara"/>
          <w:sz w:val="22"/>
          <w:szCs w:val="22"/>
        </w:rPr>
        <w:t>apresentavam a seguinte decomposição:</w:t>
      </w:r>
    </w:p>
    <w:bookmarkStart w:id="28" w:name="_MON_1391265875"/>
    <w:bookmarkStart w:id="29" w:name="_MON_1391266109"/>
    <w:bookmarkStart w:id="30" w:name="_MON_1391265429"/>
    <w:bookmarkStart w:id="31" w:name="_MON_1391265650"/>
    <w:bookmarkStart w:id="32" w:name="_MON_1391265837"/>
    <w:bookmarkEnd w:id="28"/>
    <w:bookmarkEnd w:id="29"/>
    <w:bookmarkEnd w:id="30"/>
    <w:bookmarkEnd w:id="31"/>
    <w:bookmarkEnd w:id="32"/>
    <w:bookmarkStart w:id="33" w:name="_MON_1391265846"/>
    <w:bookmarkEnd w:id="33"/>
    <w:p w:rsidR="00B77943" w:rsidRPr="00C26B1F" w:rsidRDefault="007046B9" w:rsidP="00822BCF">
      <w:pPr>
        <w:jc w:val="center"/>
        <w:rPr>
          <w:rFonts w:ascii="Candara" w:hAnsi="Candara"/>
          <w:b/>
          <w:i/>
          <w:sz w:val="22"/>
          <w:szCs w:val="22"/>
          <w:highlight w:val="yellow"/>
        </w:rPr>
      </w:pPr>
      <w:r w:rsidRPr="00814800">
        <w:rPr>
          <w:rFonts w:ascii="Candara" w:hAnsi="Candara"/>
          <w:b/>
          <w:sz w:val="22"/>
          <w:szCs w:val="22"/>
        </w:rPr>
        <w:object w:dxaOrig="9582" w:dyaOrig="4741">
          <v:shape id="_x0000_i1036" type="#_x0000_t75" style="width:466.5pt;height:222.75pt" o:ole="">
            <v:imagedata r:id="rId30" o:title=""/>
          </v:shape>
          <o:OLEObject Type="Embed" ProgID="Excel.Sheet.8" ShapeID="_x0000_i1036" DrawAspect="Content" ObjectID="_1550245067" r:id="rId31"/>
        </w:object>
      </w:r>
    </w:p>
    <w:p w:rsidR="00B77943" w:rsidRDefault="00B77943" w:rsidP="00304037">
      <w:pPr>
        <w:jc w:val="both"/>
        <w:rPr>
          <w:szCs w:val="22"/>
          <w:highlight w:val="yellow"/>
        </w:rPr>
      </w:pPr>
    </w:p>
    <w:p w:rsidR="00876669" w:rsidRPr="00814800" w:rsidRDefault="00876669" w:rsidP="00304037">
      <w:pPr>
        <w:spacing w:line="360" w:lineRule="atLeast"/>
        <w:jc w:val="both"/>
        <w:rPr>
          <w:rFonts w:ascii="Candara" w:hAnsi="Candara"/>
          <w:b/>
          <w:i/>
          <w:sz w:val="22"/>
          <w:szCs w:val="22"/>
        </w:rPr>
      </w:pPr>
      <w:r w:rsidRPr="00814800">
        <w:rPr>
          <w:rFonts w:ascii="Candara" w:hAnsi="Candara"/>
          <w:b/>
          <w:i/>
          <w:sz w:val="22"/>
          <w:szCs w:val="22"/>
        </w:rPr>
        <w:t>1</w:t>
      </w:r>
      <w:r w:rsidR="000A605A">
        <w:rPr>
          <w:rFonts w:ascii="Candara" w:hAnsi="Candara"/>
          <w:b/>
          <w:i/>
          <w:sz w:val="22"/>
          <w:szCs w:val="22"/>
        </w:rPr>
        <w:t>4</w:t>
      </w:r>
      <w:r w:rsidR="00780C29" w:rsidRPr="00814800">
        <w:rPr>
          <w:rFonts w:ascii="Candara" w:hAnsi="Candara"/>
          <w:b/>
          <w:i/>
          <w:sz w:val="22"/>
          <w:szCs w:val="22"/>
        </w:rPr>
        <w:t>.</w:t>
      </w:r>
      <w:r w:rsidR="000A605A">
        <w:rPr>
          <w:rFonts w:ascii="Candara" w:hAnsi="Candara"/>
          <w:b/>
          <w:i/>
          <w:sz w:val="22"/>
          <w:szCs w:val="22"/>
        </w:rPr>
        <w:t>1</w:t>
      </w:r>
      <w:r w:rsidRPr="00814800">
        <w:rPr>
          <w:rFonts w:ascii="Candara" w:hAnsi="Candara"/>
          <w:b/>
          <w:i/>
          <w:sz w:val="22"/>
          <w:szCs w:val="22"/>
        </w:rPr>
        <w:t>.</w:t>
      </w:r>
      <w:r w:rsidR="00B77943" w:rsidRPr="00814800">
        <w:rPr>
          <w:rFonts w:ascii="Candara" w:hAnsi="Candara"/>
          <w:b/>
          <w:i/>
          <w:sz w:val="22"/>
          <w:szCs w:val="22"/>
        </w:rPr>
        <w:t>4</w:t>
      </w:r>
      <w:r w:rsidRPr="00814800">
        <w:rPr>
          <w:rFonts w:ascii="Candara" w:hAnsi="Candara"/>
          <w:b/>
          <w:i/>
          <w:sz w:val="22"/>
          <w:szCs w:val="22"/>
        </w:rPr>
        <w:t xml:space="preserve"> – Fornecimentos e serviços externos</w:t>
      </w:r>
    </w:p>
    <w:p w:rsidR="00B77943" w:rsidRPr="00814800" w:rsidRDefault="00CE6798" w:rsidP="00304037">
      <w:pPr>
        <w:spacing w:line="360" w:lineRule="atLeast"/>
        <w:jc w:val="both"/>
        <w:rPr>
          <w:rFonts w:ascii="Candara" w:hAnsi="Candara"/>
          <w:sz w:val="22"/>
          <w:szCs w:val="22"/>
        </w:rPr>
      </w:pPr>
      <w:r>
        <w:rPr>
          <w:rFonts w:ascii="Candara" w:hAnsi="Candara"/>
          <w:sz w:val="22"/>
          <w:szCs w:val="22"/>
        </w:rPr>
        <w:t>e</w:t>
      </w:r>
      <w:r w:rsidR="00B77943" w:rsidRPr="00814800">
        <w:rPr>
          <w:rFonts w:ascii="Candara" w:hAnsi="Candara"/>
          <w:sz w:val="22"/>
          <w:szCs w:val="22"/>
        </w:rPr>
        <w:t>m 31 de Dezembro de 201</w:t>
      </w:r>
      <w:r w:rsidR="00E4216E" w:rsidRPr="00814800">
        <w:rPr>
          <w:rFonts w:ascii="Candara" w:hAnsi="Candara"/>
          <w:sz w:val="22"/>
          <w:szCs w:val="22"/>
        </w:rPr>
        <w:t>6</w:t>
      </w:r>
      <w:r w:rsidR="00B77943" w:rsidRPr="00814800">
        <w:rPr>
          <w:rFonts w:ascii="Candara" w:hAnsi="Candara"/>
          <w:sz w:val="22"/>
          <w:szCs w:val="22"/>
        </w:rPr>
        <w:t xml:space="preserve"> e 201</w:t>
      </w:r>
      <w:r w:rsidR="00E4216E" w:rsidRPr="00814800">
        <w:rPr>
          <w:rFonts w:ascii="Candara" w:hAnsi="Candara"/>
          <w:sz w:val="22"/>
          <w:szCs w:val="22"/>
        </w:rPr>
        <w:t>5</w:t>
      </w:r>
      <w:r w:rsidR="00B77943" w:rsidRPr="00814800">
        <w:rPr>
          <w:rFonts w:ascii="Candara" w:hAnsi="Candara"/>
          <w:sz w:val="22"/>
          <w:szCs w:val="22"/>
        </w:rPr>
        <w:t xml:space="preserve">, as rubricas da demonstração de resultados </w:t>
      </w:r>
      <w:r w:rsidR="00B77943" w:rsidRPr="00814800">
        <w:rPr>
          <w:rFonts w:ascii="Candara" w:hAnsi="Candara"/>
          <w:i/>
          <w:sz w:val="22"/>
          <w:szCs w:val="22"/>
        </w:rPr>
        <w:t xml:space="preserve">Fornecimentos e serviços externos e </w:t>
      </w:r>
      <w:r w:rsidR="00B77943" w:rsidRPr="00814800">
        <w:rPr>
          <w:rFonts w:ascii="Candara" w:hAnsi="Candara"/>
          <w:sz w:val="22"/>
          <w:szCs w:val="22"/>
        </w:rPr>
        <w:t>apresentavam a seguinte decomposição:</w:t>
      </w:r>
    </w:p>
    <w:p w:rsidR="00D34452" w:rsidRDefault="00D34452" w:rsidP="00825BE1">
      <w:pPr>
        <w:jc w:val="both"/>
        <w:rPr>
          <w:szCs w:val="22"/>
          <w:highlight w:val="yellow"/>
        </w:rPr>
      </w:pPr>
    </w:p>
    <w:tbl>
      <w:tblPr>
        <w:tblW w:w="10113" w:type="dxa"/>
        <w:tblCellMar>
          <w:left w:w="70" w:type="dxa"/>
          <w:right w:w="70" w:type="dxa"/>
        </w:tblCellMar>
        <w:tblLook w:val="04A0" w:firstRow="1" w:lastRow="0" w:firstColumn="1" w:lastColumn="0" w:noHBand="0" w:noVBand="1"/>
      </w:tblPr>
      <w:tblGrid>
        <w:gridCol w:w="1060"/>
        <w:gridCol w:w="932"/>
        <w:gridCol w:w="210"/>
        <w:gridCol w:w="980"/>
        <w:gridCol w:w="980"/>
        <w:gridCol w:w="980"/>
        <w:gridCol w:w="211"/>
        <w:gridCol w:w="240"/>
        <w:gridCol w:w="240"/>
        <w:gridCol w:w="240"/>
        <w:gridCol w:w="29"/>
        <w:gridCol w:w="931"/>
        <w:gridCol w:w="29"/>
        <w:gridCol w:w="931"/>
        <w:gridCol w:w="76"/>
        <w:gridCol w:w="984"/>
        <w:gridCol w:w="129"/>
        <w:gridCol w:w="931"/>
      </w:tblGrid>
      <w:tr w:rsidR="00FB12C4" w:rsidRPr="00FB12C4" w:rsidTr="005A623E">
        <w:trPr>
          <w:trHeight w:val="300"/>
        </w:trPr>
        <w:tc>
          <w:tcPr>
            <w:tcW w:w="9053" w:type="dxa"/>
            <w:gridSpan w:val="16"/>
            <w:tcBorders>
              <w:top w:val="nil"/>
              <w:left w:val="nil"/>
              <w:bottom w:val="nil"/>
              <w:right w:val="nil"/>
            </w:tcBorders>
            <w:shd w:val="clear" w:color="auto" w:fill="auto"/>
            <w:noWrap/>
            <w:vAlign w:val="bottom"/>
            <w:hideMark/>
          </w:tcPr>
          <w:p w:rsidR="00FB12C4" w:rsidRPr="00FB12C4" w:rsidRDefault="00FB12C4" w:rsidP="00FB12C4">
            <w:pPr>
              <w:jc w:val="center"/>
              <w:rPr>
                <w:b/>
                <w:bCs/>
                <w:color w:val="1D1B11"/>
              </w:rPr>
            </w:pPr>
            <w:r w:rsidRPr="00FB12C4">
              <w:rPr>
                <w:b/>
                <w:bCs/>
                <w:color w:val="1D1B11"/>
              </w:rPr>
              <w:t>ANO DE 2016</w:t>
            </w:r>
          </w:p>
        </w:tc>
        <w:tc>
          <w:tcPr>
            <w:tcW w:w="1060" w:type="dxa"/>
            <w:gridSpan w:val="2"/>
            <w:tcBorders>
              <w:top w:val="nil"/>
              <w:left w:val="nil"/>
              <w:bottom w:val="nil"/>
              <w:right w:val="nil"/>
            </w:tcBorders>
            <w:shd w:val="clear" w:color="auto" w:fill="auto"/>
            <w:noWrap/>
            <w:vAlign w:val="bottom"/>
            <w:hideMark/>
          </w:tcPr>
          <w:p w:rsidR="00FB12C4" w:rsidRPr="00FB12C4" w:rsidRDefault="00FB12C4" w:rsidP="00FB12C4">
            <w:pPr>
              <w:jc w:val="center"/>
              <w:rPr>
                <w:b/>
                <w:bCs/>
                <w:color w:val="1D1B11"/>
              </w:rPr>
            </w:pPr>
          </w:p>
        </w:tc>
      </w:tr>
      <w:tr w:rsidR="00FB12C4" w:rsidRPr="00FB12C4" w:rsidTr="005A623E">
        <w:trPr>
          <w:trHeight w:val="300"/>
        </w:trPr>
        <w:tc>
          <w:tcPr>
            <w:tcW w:w="1992" w:type="dxa"/>
            <w:gridSpan w:val="2"/>
            <w:tcBorders>
              <w:top w:val="nil"/>
              <w:left w:val="nil"/>
              <w:bottom w:val="nil"/>
              <w:right w:val="nil"/>
            </w:tcBorders>
            <w:shd w:val="clear" w:color="auto" w:fill="auto"/>
            <w:noWrap/>
            <w:vAlign w:val="bottom"/>
            <w:hideMark/>
          </w:tcPr>
          <w:p w:rsidR="00FB12C4" w:rsidRPr="00FB12C4" w:rsidRDefault="00FB12C4" w:rsidP="00FB12C4">
            <w:pPr>
              <w:jc w:val="center"/>
              <w:rPr>
                <w:b/>
                <w:bCs/>
                <w:color w:val="1D1B11"/>
              </w:rPr>
            </w:pPr>
            <w:r w:rsidRPr="00FB12C4">
              <w:rPr>
                <w:b/>
                <w:bCs/>
                <w:color w:val="1D1B11"/>
              </w:rPr>
              <w:t>502940344</w:t>
            </w:r>
          </w:p>
        </w:tc>
        <w:tc>
          <w:tcPr>
            <w:tcW w:w="3361" w:type="dxa"/>
            <w:gridSpan w:val="5"/>
            <w:tcBorders>
              <w:top w:val="nil"/>
              <w:left w:val="nil"/>
              <w:bottom w:val="nil"/>
              <w:right w:val="nil"/>
            </w:tcBorders>
            <w:shd w:val="clear" w:color="auto" w:fill="auto"/>
            <w:noWrap/>
            <w:vAlign w:val="bottom"/>
          </w:tcPr>
          <w:p w:rsidR="005A623E" w:rsidRPr="00FB12C4" w:rsidRDefault="005A623E" w:rsidP="00FB12C4">
            <w:pPr>
              <w:jc w:val="center"/>
              <w:rPr>
                <w:b/>
                <w:bCs/>
                <w:color w:val="1D1B11"/>
              </w:rPr>
            </w:pPr>
          </w:p>
        </w:tc>
        <w:tc>
          <w:tcPr>
            <w:tcW w:w="240" w:type="dxa"/>
            <w:tcBorders>
              <w:top w:val="nil"/>
              <w:left w:val="nil"/>
              <w:bottom w:val="nil"/>
              <w:right w:val="nil"/>
            </w:tcBorders>
            <w:shd w:val="clear" w:color="auto" w:fill="auto"/>
            <w:noWrap/>
            <w:vAlign w:val="bottom"/>
          </w:tcPr>
          <w:p w:rsidR="00FB12C4" w:rsidRPr="00FB12C4" w:rsidRDefault="00FB12C4" w:rsidP="00FB12C4">
            <w:pPr>
              <w:jc w:val="center"/>
            </w:pPr>
          </w:p>
        </w:tc>
        <w:tc>
          <w:tcPr>
            <w:tcW w:w="240" w:type="dxa"/>
            <w:tcBorders>
              <w:top w:val="nil"/>
              <w:left w:val="nil"/>
              <w:bottom w:val="nil"/>
              <w:right w:val="nil"/>
            </w:tcBorders>
            <w:shd w:val="clear" w:color="auto" w:fill="auto"/>
            <w:noWrap/>
            <w:vAlign w:val="bottom"/>
          </w:tcPr>
          <w:p w:rsidR="00FB12C4" w:rsidRPr="00FB12C4" w:rsidRDefault="00FB12C4" w:rsidP="00FB12C4">
            <w:pPr>
              <w:jc w:val="center"/>
            </w:pPr>
          </w:p>
        </w:tc>
        <w:tc>
          <w:tcPr>
            <w:tcW w:w="240" w:type="dxa"/>
            <w:tcBorders>
              <w:top w:val="nil"/>
              <w:left w:val="nil"/>
              <w:bottom w:val="nil"/>
              <w:right w:val="nil"/>
            </w:tcBorders>
            <w:shd w:val="clear" w:color="auto" w:fill="auto"/>
            <w:noWrap/>
            <w:vAlign w:val="bottom"/>
          </w:tcPr>
          <w:p w:rsidR="00FB12C4" w:rsidRPr="00FB12C4" w:rsidRDefault="00FB12C4" w:rsidP="00FB12C4">
            <w:pPr>
              <w:jc w:val="center"/>
            </w:pPr>
          </w:p>
        </w:tc>
        <w:tc>
          <w:tcPr>
            <w:tcW w:w="960" w:type="dxa"/>
            <w:gridSpan w:val="2"/>
            <w:tcBorders>
              <w:top w:val="nil"/>
              <w:left w:val="nil"/>
              <w:bottom w:val="nil"/>
              <w:right w:val="nil"/>
            </w:tcBorders>
            <w:shd w:val="clear" w:color="auto" w:fill="auto"/>
            <w:noWrap/>
            <w:vAlign w:val="bottom"/>
          </w:tcPr>
          <w:p w:rsidR="00FB12C4" w:rsidRPr="00FB12C4" w:rsidRDefault="00FB12C4" w:rsidP="00FB12C4">
            <w:pPr>
              <w:jc w:val="center"/>
            </w:pPr>
          </w:p>
        </w:tc>
        <w:tc>
          <w:tcPr>
            <w:tcW w:w="960" w:type="dxa"/>
            <w:gridSpan w:val="2"/>
            <w:tcBorders>
              <w:top w:val="nil"/>
              <w:left w:val="nil"/>
              <w:bottom w:val="nil"/>
              <w:right w:val="nil"/>
            </w:tcBorders>
            <w:shd w:val="clear" w:color="auto" w:fill="auto"/>
            <w:noWrap/>
            <w:vAlign w:val="bottom"/>
          </w:tcPr>
          <w:p w:rsidR="00FB12C4" w:rsidRPr="00FB12C4" w:rsidRDefault="00FB12C4" w:rsidP="00FB12C4">
            <w:pPr>
              <w:jc w:val="center"/>
            </w:pPr>
          </w:p>
        </w:tc>
        <w:tc>
          <w:tcPr>
            <w:tcW w:w="21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FB12C4" w:rsidRPr="00FB12C4" w:rsidRDefault="00FB12C4" w:rsidP="00FB12C4">
            <w:pPr>
              <w:jc w:val="center"/>
              <w:rPr>
                <w:b/>
                <w:bCs/>
                <w:color w:val="1D1B11"/>
              </w:rPr>
            </w:pPr>
          </w:p>
        </w:tc>
      </w:tr>
      <w:tr w:rsidR="005A623E" w:rsidRPr="005A623E" w:rsidTr="005A623E">
        <w:trPr>
          <w:gridAfter w:val="1"/>
          <w:wAfter w:w="931" w:type="dxa"/>
          <w:trHeight w:val="259"/>
        </w:trPr>
        <w:tc>
          <w:tcPr>
            <w:tcW w:w="1060" w:type="dxa"/>
            <w:tcBorders>
              <w:top w:val="nil"/>
              <w:left w:val="nil"/>
              <w:bottom w:val="nil"/>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lastRenderedPageBreak/>
              <w:t>502940344</w:t>
            </w: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jc w:val="center"/>
              <w:rPr>
                <w:b/>
                <w:bCs/>
                <w:color w:val="1D1B11"/>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21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31 de dezembro</w:t>
            </w:r>
          </w:p>
        </w:tc>
      </w:tr>
      <w:tr w:rsidR="005A623E" w:rsidRPr="005A623E" w:rsidTr="005A623E">
        <w:trPr>
          <w:gridAfter w:val="1"/>
          <w:wAfter w:w="931" w:type="dxa"/>
          <w:trHeight w:val="259"/>
        </w:trPr>
        <w:tc>
          <w:tcPr>
            <w:tcW w:w="1060" w:type="dxa"/>
            <w:tcBorders>
              <w:top w:val="single" w:sz="4" w:space="0" w:color="auto"/>
              <w:left w:val="single" w:sz="4" w:space="0" w:color="auto"/>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142" w:type="dxa"/>
            <w:gridSpan w:val="2"/>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960" w:type="dxa"/>
            <w:gridSpan w:val="5"/>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007" w:type="dxa"/>
            <w:gridSpan w:val="2"/>
            <w:tcBorders>
              <w:top w:val="nil"/>
              <w:left w:val="single" w:sz="4" w:space="0" w:color="auto"/>
              <w:bottom w:val="single" w:sz="4" w:space="0" w:color="auto"/>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2016</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2015</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GASTOS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b/>
                <w:bCs/>
                <w:color w:val="1D1B11"/>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6002" w:type="dxa"/>
            <w:gridSpan w:val="12"/>
            <w:tcBorders>
              <w:top w:val="nil"/>
              <w:left w:val="nil"/>
              <w:bottom w:val="nil"/>
              <w:right w:val="nil"/>
            </w:tcBorders>
            <w:shd w:val="clear" w:color="auto" w:fill="auto"/>
            <w:noWrap/>
            <w:vAlign w:val="bottom"/>
            <w:hideMark/>
          </w:tcPr>
          <w:p w:rsidR="005A623E" w:rsidRPr="007C56B4" w:rsidRDefault="005A623E" w:rsidP="005A623E">
            <w:pPr>
              <w:rPr>
                <w:b/>
                <w:bCs/>
                <w:color w:val="1D1B11"/>
                <w:sz w:val="16"/>
                <w:szCs w:val="16"/>
              </w:rPr>
            </w:pPr>
            <w:r w:rsidRPr="007C56B4">
              <w:rPr>
                <w:b/>
                <w:bCs/>
                <w:color w:val="1D1B11"/>
                <w:sz w:val="16"/>
                <w:szCs w:val="16"/>
              </w:rPr>
              <w:t>Custos das Mercadorias consumidas</w:t>
            </w: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61213</w:t>
            </w: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Mercadorias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b/>
                <w:bCs/>
                <w:color w:val="1D1B11"/>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1D1B11"/>
                <w:sz w:val="16"/>
                <w:szCs w:val="16"/>
              </w:rPr>
            </w:pPr>
            <w:r w:rsidRPr="007C56B4">
              <w:rPr>
                <w:color w:val="1D1B11"/>
                <w:sz w:val="16"/>
                <w:szCs w:val="16"/>
              </w:rPr>
              <w:t>35 936,00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38 468,03</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6002" w:type="dxa"/>
            <w:gridSpan w:val="12"/>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1D1B11"/>
                <w:sz w:val="16"/>
                <w:szCs w:val="16"/>
              </w:rPr>
            </w:pPr>
            <w:r w:rsidRPr="007C56B4">
              <w:rPr>
                <w:b/>
                <w:bCs/>
                <w:color w:val="1D1B11"/>
                <w:sz w:val="16"/>
                <w:szCs w:val="16"/>
              </w:rPr>
              <w:t>61 Total  Mercadorias</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23E" w:rsidRPr="007C56B4" w:rsidRDefault="005A623E" w:rsidP="005A623E">
            <w:pPr>
              <w:jc w:val="right"/>
              <w:rPr>
                <w:b/>
                <w:bCs/>
                <w:color w:val="1D1B11"/>
                <w:sz w:val="16"/>
                <w:szCs w:val="16"/>
              </w:rPr>
            </w:pPr>
            <w:r w:rsidRPr="007C56B4">
              <w:rPr>
                <w:b/>
                <w:bCs/>
                <w:color w:val="1D1B11"/>
                <w:sz w:val="16"/>
                <w:szCs w:val="16"/>
              </w:rPr>
              <w:t>35 936,00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38 468,03</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6002" w:type="dxa"/>
            <w:gridSpan w:val="12"/>
            <w:tcBorders>
              <w:top w:val="nil"/>
              <w:left w:val="nil"/>
              <w:bottom w:val="nil"/>
              <w:right w:val="nil"/>
            </w:tcBorders>
            <w:shd w:val="clear" w:color="auto" w:fill="auto"/>
            <w:noWrap/>
            <w:vAlign w:val="bottom"/>
            <w:hideMark/>
          </w:tcPr>
          <w:p w:rsidR="005A623E" w:rsidRPr="007C56B4" w:rsidRDefault="005A623E" w:rsidP="005A623E">
            <w:pPr>
              <w:rPr>
                <w:b/>
                <w:bCs/>
                <w:color w:val="1D1B11"/>
                <w:sz w:val="16"/>
                <w:szCs w:val="16"/>
              </w:rPr>
            </w:pPr>
            <w:r w:rsidRPr="007C56B4">
              <w:rPr>
                <w:b/>
                <w:bCs/>
                <w:color w:val="1D1B11"/>
                <w:sz w:val="16"/>
                <w:szCs w:val="16"/>
              </w:rPr>
              <w:t>Fornecimentos e Serviços Externos</w:t>
            </w: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621</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1D1B11"/>
                <w:sz w:val="16"/>
                <w:szCs w:val="16"/>
              </w:rPr>
            </w:pPr>
            <w:r w:rsidRPr="007C56B4">
              <w:rPr>
                <w:color w:val="1D1B11"/>
                <w:sz w:val="16"/>
                <w:szCs w:val="16"/>
              </w:rPr>
              <w:t>Subcontratos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1D1B11"/>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center"/>
              <w:rPr>
                <w:b/>
                <w:bCs/>
                <w:color w:val="1D1B11"/>
                <w:sz w:val="16"/>
                <w:szCs w:val="16"/>
              </w:rPr>
            </w:pPr>
            <w:r w:rsidRPr="007C56B4">
              <w:rPr>
                <w:b/>
                <w:bCs/>
                <w:color w:val="1D1B11"/>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6221</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Trabalhos Especializados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3 351,75</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1 949,58</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6222</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xml:space="preserve">Publicidade e  Propaganda </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61,50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104,55</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6224</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Honorários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13 515,50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18 089,27</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6226</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Conservação e Reparação</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2 841,96</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5 499,56</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6228</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xml:space="preserve">Serviços - Outros </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6231</w:t>
            </w:r>
          </w:p>
        </w:tc>
        <w:tc>
          <w:tcPr>
            <w:tcW w:w="4082" w:type="dxa"/>
            <w:gridSpan w:val="5"/>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xml:space="preserve">Ferramentas  e Utensílios de Desgaste Rápido </w:t>
            </w: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7 434,10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3 259,44</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6232</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Livros e Documentação Técnica</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6233</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xml:space="preserve">Material de </w:t>
            </w:r>
            <w:proofErr w:type="spellStart"/>
            <w:r w:rsidRPr="007C56B4">
              <w:rPr>
                <w:color w:val="000000"/>
                <w:sz w:val="16"/>
                <w:szCs w:val="16"/>
              </w:rPr>
              <w:t>Escitório</w:t>
            </w:r>
            <w:proofErr w:type="spellEnd"/>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1 293,27</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2 092,85</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6234</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Artigos para Oferta</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6235</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Encargos Saúde Utentes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243,73</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2 765,94</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6238</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Material - Outros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12 525,38</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10 161,88</w:t>
            </w:r>
          </w:p>
        </w:tc>
        <w:bookmarkStart w:id="34" w:name="_GoBack"/>
        <w:bookmarkEnd w:id="34"/>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6241</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Eletricidade</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10 107,10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10 395,36</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6242</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roofErr w:type="spellStart"/>
            <w:r w:rsidRPr="007C56B4">
              <w:rPr>
                <w:color w:val="000000"/>
                <w:sz w:val="16"/>
                <w:szCs w:val="16"/>
              </w:rPr>
              <w:t>Combustiveis</w:t>
            </w:r>
            <w:proofErr w:type="spellEnd"/>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11 898,33</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13 878,62</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6243</w:t>
            </w: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roofErr w:type="spellStart"/>
            <w:r w:rsidRPr="007C56B4">
              <w:rPr>
                <w:color w:val="000000"/>
                <w:sz w:val="16"/>
                <w:szCs w:val="16"/>
              </w:rPr>
              <w:t>Àgua</w:t>
            </w:r>
            <w:proofErr w:type="spellEnd"/>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138,48</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82,66</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6248</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Energia e Fluidos - Outros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2 069,06</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1 310,88</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6251</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Despesas de Deslocação</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6262</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xml:space="preserve"> Comunicação</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1 239,09</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1 143,98</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6263</w:t>
            </w: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Seguros</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2 745,73</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2 347,52</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6265</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Contencioso e Notariado</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126,14</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110,00</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6266</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Despesas de Representação</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20,00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38,80</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6267</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Limpeza Higiene e Conforto</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6268</w:t>
            </w:r>
          </w:p>
        </w:tc>
        <w:tc>
          <w:tcPr>
            <w:tcW w:w="2122" w:type="dxa"/>
            <w:gridSpan w:val="3"/>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xml:space="preserve"> Serviços - Outros </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123,12</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447,39</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 </w:t>
            </w:r>
          </w:p>
        </w:tc>
        <w:tc>
          <w:tcPr>
            <w:tcW w:w="4082" w:type="dxa"/>
            <w:gridSpan w:val="5"/>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62 . Total Fornecimentos e Serviços</w:t>
            </w:r>
          </w:p>
        </w:tc>
        <w:tc>
          <w:tcPr>
            <w:tcW w:w="960" w:type="dxa"/>
            <w:gridSpan w:val="5"/>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69 734,24</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73 678,28</w:t>
            </w:r>
          </w:p>
        </w:tc>
      </w:tr>
      <w:tr w:rsidR="005A623E" w:rsidRPr="007C56B4"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632</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REMUNERAÇÕES DO PESSOAL</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200 433,56</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174 613,02</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rFonts w:ascii="Calibri" w:hAnsi="Calibri" w:cs="Calibri"/>
                <w:b/>
                <w:bCs/>
                <w:color w:val="000000"/>
                <w:sz w:val="16"/>
                <w:szCs w:val="16"/>
              </w:rPr>
            </w:pPr>
            <w:r w:rsidRPr="007C56B4">
              <w:rPr>
                <w:rFonts w:ascii="Calibri" w:hAnsi="Calibri" w:cs="Calibri"/>
                <w:b/>
                <w:bCs/>
                <w:color w:val="000000"/>
                <w:sz w:val="16"/>
                <w:szCs w:val="16"/>
              </w:rPr>
              <w:t> </w:t>
            </w: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rPr>
                <w:rFonts w:ascii="Calibri" w:hAnsi="Calibri" w:cs="Calibri"/>
                <w:b/>
                <w:bCs/>
                <w:color w:val="000000"/>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rPr>
                <w:color w:val="000000"/>
                <w:sz w:val="16"/>
                <w:szCs w:val="16"/>
              </w:rPr>
            </w:pPr>
            <w:r w:rsidRPr="007C56B4">
              <w:rPr>
                <w:color w:val="000000"/>
                <w:sz w:val="16"/>
                <w:szCs w:val="16"/>
              </w:rPr>
              <w:t> </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635</w:t>
            </w:r>
          </w:p>
        </w:tc>
        <w:tc>
          <w:tcPr>
            <w:tcW w:w="6002" w:type="dxa"/>
            <w:gridSpan w:val="12"/>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ENCARGOS SOBRE  REMUNERAÇÕES</w:t>
            </w: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37 300,84</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36 800,00</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636</w:t>
            </w:r>
          </w:p>
        </w:tc>
        <w:tc>
          <w:tcPr>
            <w:tcW w:w="4082" w:type="dxa"/>
            <w:gridSpan w:val="5"/>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SEGUROS DE ACID TRAB  E DOENÇ PROF</w:t>
            </w: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481,01</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480,00</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b/>
                <w:bCs/>
                <w:color w:val="000000"/>
                <w:sz w:val="16"/>
                <w:szCs w:val="16"/>
              </w:rPr>
            </w:pPr>
            <w:r w:rsidRPr="007C56B4">
              <w:rPr>
                <w:rFonts w:ascii="Calibri" w:hAnsi="Calibri" w:cs="Calibri"/>
                <w:b/>
                <w:bCs/>
                <w:color w:val="000000"/>
                <w:sz w:val="16"/>
                <w:szCs w:val="16"/>
              </w:rPr>
              <w:t>637</w:t>
            </w:r>
          </w:p>
        </w:tc>
        <w:tc>
          <w:tcPr>
            <w:tcW w:w="3102" w:type="dxa"/>
            <w:gridSpan w:val="4"/>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GASTOS DE AÇÃO SOCIAL</w:t>
            </w: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0,00</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rPr>
                <w:rFonts w:ascii="Calibri" w:hAnsi="Calibri" w:cs="Calibri"/>
                <w:color w:val="000000"/>
                <w:sz w:val="16"/>
                <w:szCs w:val="16"/>
              </w:rPr>
            </w:pPr>
            <w:r w:rsidRPr="007C56B4">
              <w:rPr>
                <w:rFonts w:ascii="Calibri" w:hAnsi="Calibri" w:cs="Calibri"/>
                <w:color w:val="000000"/>
                <w:sz w:val="16"/>
                <w:szCs w:val="16"/>
              </w:rPr>
              <w:t> </w:t>
            </w:r>
          </w:p>
        </w:tc>
      </w:tr>
      <w:tr w:rsidR="005A623E" w:rsidRPr="005A623E" w:rsidTr="005A623E">
        <w:trPr>
          <w:gridAfter w:val="1"/>
          <w:wAfter w:w="931" w:type="dxa"/>
          <w:trHeight w:val="259"/>
        </w:trPr>
        <w:tc>
          <w:tcPr>
            <w:tcW w:w="1060" w:type="dxa"/>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638</w:t>
            </w:r>
          </w:p>
        </w:tc>
        <w:tc>
          <w:tcPr>
            <w:tcW w:w="6002" w:type="dxa"/>
            <w:gridSpan w:val="12"/>
            <w:tcBorders>
              <w:top w:val="nil"/>
              <w:left w:val="nil"/>
              <w:bottom w:val="nil"/>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OUTROS - Gastos com Pessoal</w:t>
            </w:r>
          </w:p>
        </w:tc>
        <w:tc>
          <w:tcPr>
            <w:tcW w:w="1007" w:type="dxa"/>
            <w:gridSpan w:val="2"/>
            <w:tcBorders>
              <w:top w:val="nil"/>
              <w:left w:val="single" w:sz="4" w:space="0" w:color="auto"/>
              <w:bottom w:val="nil"/>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422,15</w:t>
            </w:r>
          </w:p>
        </w:tc>
        <w:tc>
          <w:tcPr>
            <w:tcW w:w="1113" w:type="dxa"/>
            <w:gridSpan w:val="2"/>
            <w:tcBorders>
              <w:top w:val="nil"/>
              <w:left w:val="nil"/>
              <w:bottom w:val="nil"/>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1 351,91</w:t>
            </w:r>
          </w:p>
        </w:tc>
      </w:tr>
      <w:tr w:rsidR="005A623E" w:rsidRPr="005A623E" w:rsidTr="005A623E">
        <w:trPr>
          <w:gridAfter w:val="1"/>
          <w:wAfter w:w="931" w:type="dxa"/>
          <w:trHeight w:val="259"/>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23E" w:rsidRPr="007C56B4" w:rsidRDefault="005A623E" w:rsidP="005A623E">
            <w:pPr>
              <w:jc w:val="right"/>
              <w:rPr>
                <w:b/>
                <w:bCs/>
                <w:color w:val="000000"/>
                <w:sz w:val="16"/>
                <w:szCs w:val="16"/>
              </w:rPr>
            </w:pPr>
            <w:r w:rsidRPr="007C56B4">
              <w:rPr>
                <w:b/>
                <w:bCs/>
                <w:color w:val="000000"/>
                <w:sz w:val="16"/>
                <w:szCs w:val="16"/>
              </w:rPr>
              <w:t> </w:t>
            </w:r>
          </w:p>
        </w:tc>
        <w:tc>
          <w:tcPr>
            <w:tcW w:w="1142" w:type="dxa"/>
            <w:gridSpan w:val="2"/>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63 Total</w:t>
            </w:r>
          </w:p>
        </w:tc>
        <w:tc>
          <w:tcPr>
            <w:tcW w:w="980" w:type="dxa"/>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 </w:t>
            </w:r>
          </w:p>
        </w:tc>
        <w:tc>
          <w:tcPr>
            <w:tcW w:w="960" w:type="dxa"/>
            <w:gridSpan w:val="5"/>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 </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5A623E" w:rsidRPr="007C56B4" w:rsidRDefault="005A623E" w:rsidP="005A623E">
            <w:pPr>
              <w:rPr>
                <w:b/>
                <w:bCs/>
                <w:color w:val="000000"/>
                <w:sz w:val="16"/>
                <w:szCs w:val="16"/>
              </w:rPr>
            </w:pPr>
            <w:r w:rsidRPr="007C56B4">
              <w:rPr>
                <w:b/>
                <w:bCs/>
                <w:color w:val="000000"/>
                <w:sz w:val="16"/>
                <w:szCs w:val="16"/>
              </w:rPr>
              <w:t> </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23E" w:rsidRPr="007C56B4" w:rsidRDefault="005A623E" w:rsidP="005A623E">
            <w:pPr>
              <w:jc w:val="right"/>
              <w:rPr>
                <w:color w:val="000000"/>
                <w:sz w:val="16"/>
                <w:szCs w:val="16"/>
              </w:rPr>
            </w:pPr>
            <w:r w:rsidRPr="007C56B4">
              <w:rPr>
                <w:color w:val="000000"/>
                <w:sz w:val="16"/>
                <w:szCs w:val="16"/>
              </w:rPr>
              <w:t>238 637,56</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r w:rsidRPr="007C56B4">
              <w:rPr>
                <w:rFonts w:ascii="Calibri" w:hAnsi="Calibri" w:cs="Calibri"/>
                <w:color w:val="000000"/>
                <w:sz w:val="16"/>
                <w:szCs w:val="16"/>
              </w:rPr>
              <w:t>213 244,93</w:t>
            </w:r>
          </w:p>
        </w:tc>
      </w:tr>
      <w:tr w:rsidR="005A623E" w:rsidRPr="005A623E" w:rsidTr="005A623E">
        <w:trPr>
          <w:gridAfter w:val="1"/>
          <w:wAfter w:w="931" w:type="dxa"/>
          <w:trHeight w:val="282"/>
        </w:trPr>
        <w:tc>
          <w:tcPr>
            <w:tcW w:w="1060" w:type="dxa"/>
            <w:tcBorders>
              <w:top w:val="nil"/>
              <w:left w:val="nil"/>
              <w:bottom w:val="nil"/>
              <w:right w:val="nil"/>
            </w:tcBorders>
            <w:shd w:val="clear" w:color="auto" w:fill="auto"/>
            <w:noWrap/>
            <w:vAlign w:val="bottom"/>
            <w:hideMark/>
          </w:tcPr>
          <w:p w:rsidR="005A623E" w:rsidRPr="007C56B4" w:rsidRDefault="005A623E" w:rsidP="005A623E">
            <w:pPr>
              <w:jc w:val="right"/>
              <w:rPr>
                <w:rFonts w:ascii="Calibri" w:hAnsi="Calibri" w:cs="Calibri"/>
                <w:color w:val="000000"/>
                <w:sz w:val="16"/>
                <w:szCs w:val="16"/>
              </w:rPr>
            </w:pPr>
          </w:p>
        </w:tc>
        <w:tc>
          <w:tcPr>
            <w:tcW w:w="1142"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80" w:type="dxa"/>
            <w:tcBorders>
              <w:top w:val="nil"/>
              <w:left w:val="nil"/>
              <w:bottom w:val="nil"/>
              <w:right w:val="nil"/>
            </w:tcBorders>
            <w:shd w:val="clear" w:color="auto" w:fill="auto"/>
            <w:noWrap/>
            <w:vAlign w:val="bottom"/>
            <w:hideMark/>
          </w:tcPr>
          <w:p w:rsidR="005A623E" w:rsidRPr="007C56B4" w:rsidRDefault="005A623E" w:rsidP="005A623E">
            <w:pPr>
              <w:jc w:val="center"/>
              <w:rPr>
                <w:sz w:val="16"/>
                <w:szCs w:val="16"/>
              </w:rPr>
            </w:pPr>
          </w:p>
        </w:tc>
        <w:tc>
          <w:tcPr>
            <w:tcW w:w="960" w:type="dxa"/>
            <w:gridSpan w:val="5"/>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960"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007"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c>
          <w:tcPr>
            <w:tcW w:w="1113" w:type="dxa"/>
            <w:gridSpan w:val="2"/>
            <w:tcBorders>
              <w:top w:val="nil"/>
              <w:left w:val="nil"/>
              <w:bottom w:val="nil"/>
              <w:right w:val="nil"/>
            </w:tcBorders>
            <w:shd w:val="clear" w:color="auto" w:fill="auto"/>
            <w:noWrap/>
            <w:vAlign w:val="bottom"/>
            <w:hideMark/>
          </w:tcPr>
          <w:p w:rsidR="005A623E" w:rsidRPr="007C56B4" w:rsidRDefault="005A623E" w:rsidP="005A623E">
            <w:pPr>
              <w:rPr>
                <w:sz w:val="16"/>
                <w:szCs w:val="16"/>
              </w:rPr>
            </w:pPr>
          </w:p>
        </w:tc>
      </w:tr>
      <w:tr w:rsidR="005A623E" w:rsidRPr="005A623E" w:rsidTr="005A623E">
        <w:trPr>
          <w:gridAfter w:val="1"/>
          <w:wAfter w:w="931" w:type="dxa"/>
          <w:trHeight w:val="282"/>
        </w:trPr>
        <w:tc>
          <w:tcPr>
            <w:tcW w:w="2202" w:type="dxa"/>
            <w:gridSpan w:val="3"/>
            <w:tcBorders>
              <w:top w:val="nil"/>
              <w:left w:val="nil"/>
              <w:bottom w:val="nil"/>
              <w:right w:val="nil"/>
            </w:tcBorders>
            <w:shd w:val="clear" w:color="auto" w:fill="auto"/>
            <w:noWrap/>
            <w:vAlign w:val="bottom"/>
            <w:hideMark/>
          </w:tcPr>
          <w:p w:rsidR="005A623E" w:rsidRPr="005A623E" w:rsidRDefault="005A623E" w:rsidP="005A623E">
            <w:pPr>
              <w:jc w:val="center"/>
              <w:rPr>
                <w:b/>
                <w:bCs/>
                <w:color w:val="000000"/>
              </w:rPr>
            </w:pPr>
            <w:r w:rsidRPr="005A623E">
              <w:rPr>
                <w:b/>
                <w:bCs/>
                <w:color w:val="000000"/>
              </w:rPr>
              <w:t xml:space="preserve">O </w:t>
            </w:r>
            <w:proofErr w:type="spellStart"/>
            <w:r w:rsidRPr="005A623E">
              <w:rPr>
                <w:b/>
                <w:bCs/>
                <w:color w:val="000000"/>
              </w:rPr>
              <w:t>Cont</w:t>
            </w:r>
            <w:proofErr w:type="spellEnd"/>
            <w:r w:rsidRPr="005A623E">
              <w:rPr>
                <w:b/>
                <w:bCs/>
                <w:color w:val="000000"/>
              </w:rPr>
              <w:t xml:space="preserve"> </w:t>
            </w:r>
            <w:proofErr w:type="spellStart"/>
            <w:r w:rsidRPr="005A623E">
              <w:rPr>
                <w:b/>
                <w:bCs/>
                <w:color w:val="000000"/>
              </w:rPr>
              <w:t>Cert</w:t>
            </w:r>
            <w:proofErr w:type="spellEnd"/>
          </w:p>
        </w:tc>
        <w:tc>
          <w:tcPr>
            <w:tcW w:w="980" w:type="dxa"/>
            <w:tcBorders>
              <w:top w:val="nil"/>
              <w:left w:val="nil"/>
              <w:bottom w:val="nil"/>
              <w:right w:val="nil"/>
            </w:tcBorders>
            <w:shd w:val="clear" w:color="auto" w:fill="auto"/>
            <w:noWrap/>
            <w:vAlign w:val="bottom"/>
            <w:hideMark/>
          </w:tcPr>
          <w:p w:rsidR="005A623E" w:rsidRPr="005A623E" w:rsidRDefault="005A623E" w:rsidP="005A623E">
            <w:pPr>
              <w:jc w:val="center"/>
              <w:rPr>
                <w:b/>
                <w:bCs/>
                <w:color w:val="000000"/>
              </w:rPr>
            </w:pPr>
          </w:p>
        </w:tc>
        <w:tc>
          <w:tcPr>
            <w:tcW w:w="980" w:type="dxa"/>
            <w:tcBorders>
              <w:top w:val="nil"/>
              <w:left w:val="nil"/>
              <w:bottom w:val="nil"/>
              <w:right w:val="nil"/>
            </w:tcBorders>
            <w:shd w:val="clear" w:color="auto" w:fill="auto"/>
            <w:noWrap/>
            <w:vAlign w:val="bottom"/>
            <w:hideMark/>
          </w:tcPr>
          <w:p w:rsidR="005A623E" w:rsidRPr="005A623E" w:rsidRDefault="005A623E" w:rsidP="005A623E"/>
        </w:tc>
        <w:tc>
          <w:tcPr>
            <w:tcW w:w="980" w:type="dxa"/>
            <w:tcBorders>
              <w:top w:val="nil"/>
              <w:left w:val="nil"/>
              <w:bottom w:val="nil"/>
              <w:right w:val="nil"/>
            </w:tcBorders>
            <w:shd w:val="clear" w:color="auto" w:fill="auto"/>
            <w:noWrap/>
            <w:vAlign w:val="bottom"/>
            <w:hideMark/>
          </w:tcPr>
          <w:p w:rsidR="005A623E" w:rsidRPr="005A623E" w:rsidRDefault="005A623E" w:rsidP="005A623E"/>
        </w:tc>
        <w:tc>
          <w:tcPr>
            <w:tcW w:w="960" w:type="dxa"/>
            <w:gridSpan w:val="5"/>
            <w:tcBorders>
              <w:top w:val="nil"/>
              <w:left w:val="nil"/>
              <w:bottom w:val="nil"/>
              <w:right w:val="nil"/>
            </w:tcBorders>
            <w:shd w:val="clear" w:color="auto" w:fill="auto"/>
            <w:noWrap/>
            <w:vAlign w:val="bottom"/>
            <w:hideMark/>
          </w:tcPr>
          <w:p w:rsidR="005A623E" w:rsidRPr="005A623E" w:rsidRDefault="005A623E" w:rsidP="005A623E"/>
        </w:tc>
        <w:tc>
          <w:tcPr>
            <w:tcW w:w="1967" w:type="dxa"/>
            <w:gridSpan w:val="4"/>
            <w:tcBorders>
              <w:top w:val="nil"/>
              <w:left w:val="nil"/>
              <w:bottom w:val="nil"/>
              <w:right w:val="nil"/>
            </w:tcBorders>
            <w:shd w:val="clear" w:color="auto" w:fill="auto"/>
            <w:noWrap/>
            <w:vAlign w:val="bottom"/>
            <w:hideMark/>
          </w:tcPr>
          <w:p w:rsidR="005A623E" w:rsidRPr="005A623E" w:rsidRDefault="005A623E" w:rsidP="005A623E">
            <w:pPr>
              <w:jc w:val="center"/>
              <w:rPr>
                <w:rFonts w:ascii="Calibri" w:hAnsi="Calibri" w:cs="Calibri"/>
                <w:color w:val="000000"/>
                <w:sz w:val="22"/>
                <w:szCs w:val="22"/>
              </w:rPr>
            </w:pPr>
            <w:r w:rsidRPr="005A623E">
              <w:rPr>
                <w:rFonts w:ascii="Calibri" w:hAnsi="Calibri" w:cs="Calibri"/>
                <w:color w:val="000000"/>
                <w:sz w:val="22"/>
                <w:szCs w:val="22"/>
              </w:rPr>
              <w:t>A Direção</w:t>
            </w:r>
          </w:p>
        </w:tc>
        <w:tc>
          <w:tcPr>
            <w:tcW w:w="1113" w:type="dxa"/>
            <w:gridSpan w:val="2"/>
            <w:tcBorders>
              <w:top w:val="nil"/>
              <w:left w:val="nil"/>
              <w:bottom w:val="nil"/>
              <w:right w:val="nil"/>
            </w:tcBorders>
            <w:shd w:val="clear" w:color="auto" w:fill="auto"/>
            <w:noWrap/>
            <w:vAlign w:val="bottom"/>
            <w:hideMark/>
          </w:tcPr>
          <w:p w:rsidR="005A623E" w:rsidRPr="005A623E" w:rsidRDefault="005A623E" w:rsidP="005A623E">
            <w:pPr>
              <w:jc w:val="center"/>
              <w:rPr>
                <w:rFonts w:ascii="Calibri" w:hAnsi="Calibri" w:cs="Calibri"/>
                <w:color w:val="000000"/>
                <w:sz w:val="22"/>
                <w:szCs w:val="22"/>
              </w:rPr>
            </w:pPr>
          </w:p>
        </w:tc>
      </w:tr>
    </w:tbl>
    <w:p w:rsidR="00D34452" w:rsidRDefault="00D34452" w:rsidP="00825BE1">
      <w:pPr>
        <w:jc w:val="both"/>
        <w:rPr>
          <w:szCs w:val="22"/>
          <w:highlight w:val="yellow"/>
        </w:rPr>
      </w:pPr>
    </w:p>
    <w:p w:rsidR="00D34452" w:rsidRDefault="00D34452" w:rsidP="00825BE1">
      <w:pPr>
        <w:jc w:val="both"/>
        <w:rPr>
          <w:szCs w:val="22"/>
          <w:highlight w:val="yellow"/>
        </w:rPr>
      </w:pPr>
    </w:p>
    <w:p w:rsidR="00D34452" w:rsidRDefault="00D34452" w:rsidP="00825BE1">
      <w:pPr>
        <w:jc w:val="both"/>
        <w:rPr>
          <w:szCs w:val="22"/>
          <w:highlight w:val="yellow"/>
        </w:rPr>
      </w:pPr>
    </w:p>
    <w:p w:rsidR="00D34452" w:rsidRDefault="00D34452" w:rsidP="00825BE1">
      <w:pPr>
        <w:jc w:val="both"/>
        <w:rPr>
          <w:szCs w:val="22"/>
          <w:highlight w:val="yellow"/>
        </w:rPr>
      </w:pPr>
    </w:p>
    <w:p w:rsidR="00D34452" w:rsidRDefault="00D34452" w:rsidP="00825BE1">
      <w:pPr>
        <w:jc w:val="both"/>
        <w:rPr>
          <w:szCs w:val="22"/>
          <w:highlight w:val="yellow"/>
        </w:rPr>
      </w:pPr>
    </w:p>
    <w:p w:rsidR="00AD3ED1" w:rsidRDefault="00AD3ED1" w:rsidP="00825BE1">
      <w:pPr>
        <w:jc w:val="both"/>
        <w:rPr>
          <w:szCs w:val="22"/>
          <w:highlight w:val="yellow"/>
        </w:rPr>
      </w:pPr>
    </w:p>
    <w:p w:rsidR="00822BCF" w:rsidRDefault="00822BCF" w:rsidP="00825BE1">
      <w:pPr>
        <w:jc w:val="both"/>
        <w:rPr>
          <w:szCs w:val="22"/>
          <w:highlight w:val="yellow"/>
        </w:rPr>
      </w:pPr>
    </w:p>
    <w:p w:rsidR="00822BCF" w:rsidRPr="00825BE1" w:rsidRDefault="00822BCF" w:rsidP="00825BE1">
      <w:pPr>
        <w:jc w:val="both"/>
        <w:rPr>
          <w:szCs w:val="22"/>
          <w:highlight w:val="yellow"/>
        </w:rPr>
      </w:pPr>
    </w:p>
    <w:p w:rsidR="00BA54DA" w:rsidRDefault="00BA54DA" w:rsidP="00304037">
      <w:pPr>
        <w:spacing w:line="360" w:lineRule="atLeast"/>
        <w:jc w:val="both"/>
        <w:rPr>
          <w:rFonts w:ascii="Candara" w:hAnsi="Candara"/>
          <w:b/>
          <w:i/>
          <w:sz w:val="22"/>
          <w:szCs w:val="22"/>
        </w:rPr>
      </w:pPr>
    </w:p>
    <w:p w:rsidR="00BA54DA" w:rsidRDefault="00BA54DA" w:rsidP="00304037">
      <w:pPr>
        <w:spacing w:line="360" w:lineRule="atLeast"/>
        <w:jc w:val="both"/>
        <w:rPr>
          <w:rFonts w:ascii="Candara" w:hAnsi="Candara"/>
          <w:b/>
          <w:i/>
          <w:sz w:val="22"/>
          <w:szCs w:val="22"/>
        </w:rPr>
      </w:pPr>
    </w:p>
    <w:p w:rsidR="006B320C" w:rsidRPr="00C26B1F" w:rsidRDefault="006B320C" w:rsidP="00304037">
      <w:pPr>
        <w:jc w:val="both"/>
        <w:rPr>
          <w:rFonts w:ascii="Candara" w:hAnsi="Candara"/>
          <w:sz w:val="22"/>
          <w:szCs w:val="22"/>
          <w:highlight w:val="yellow"/>
        </w:rPr>
      </w:pPr>
    </w:p>
    <w:tbl>
      <w:tblPr>
        <w:tblW w:w="7089" w:type="dxa"/>
        <w:tblInd w:w="1215" w:type="dxa"/>
        <w:tblBorders>
          <w:top w:val="single" w:sz="12" w:space="0" w:color="000000"/>
          <w:bottom w:val="single" w:sz="12" w:space="0" w:color="000000"/>
        </w:tblBorders>
        <w:tblLook w:val="04A0" w:firstRow="1" w:lastRow="0" w:firstColumn="1" w:lastColumn="0" w:noHBand="0" w:noVBand="1"/>
      </w:tblPr>
      <w:tblGrid>
        <w:gridCol w:w="4329"/>
        <w:gridCol w:w="2760"/>
      </w:tblGrid>
      <w:tr w:rsidR="00821F23" w:rsidRPr="00C26B1F" w:rsidTr="00393DE9">
        <w:trPr>
          <w:trHeight w:val="465"/>
        </w:trPr>
        <w:tc>
          <w:tcPr>
            <w:tcW w:w="4329" w:type="dxa"/>
            <w:tcBorders>
              <w:top w:val="nil"/>
              <w:left w:val="nil"/>
              <w:bottom w:val="nil"/>
              <w:right w:val="nil"/>
            </w:tcBorders>
            <w:noWrap/>
          </w:tcPr>
          <w:p w:rsidR="00821F23" w:rsidRDefault="00821F23" w:rsidP="00393DE9">
            <w:pPr>
              <w:rPr>
                <w:rFonts w:ascii="Candara" w:hAnsi="Candara"/>
              </w:rPr>
            </w:pPr>
          </w:p>
        </w:tc>
        <w:tc>
          <w:tcPr>
            <w:tcW w:w="2760" w:type="dxa"/>
            <w:tcBorders>
              <w:top w:val="nil"/>
              <w:left w:val="nil"/>
              <w:bottom w:val="nil"/>
              <w:right w:val="nil"/>
            </w:tcBorders>
            <w:noWrap/>
          </w:tcPr>
          <w:p w:rsidR="00821F23" w:rsidRDefault="00821F23" w:rsidP="00821F23">
            <w:pPr>
              <w:jc w:val="both"/>
              <w:rPr>
                <w:rFonts w:ascii="Candara" w:hAnsi="Candara"/>
              </w:rPr>
            </w:pPr>
          </w:p>
        </w:tc>
      </w:tr>
      <w:tr w:rsidR="00821F23" w:rsidRPr="00C26B1F" w:rsidTr="00393DE9">
        <w:trPr>
          <w:trHeight w:val="465"/>
        </w:trPr>
        <w:tc>
          <w:tcPr>
            <w:tcW w:w="4329" w:type="dxa"/>
            <w:tcBorders>
              <w:top w:val="nil"/>
              <w:left w:val="nil"/>
              <w:bottom w:val="nil"/>
              <w:right w:val="nil"/>
            </w:tcBorders>
            <w:noWrap/>
          </w:tcPr>
          <w:p w:rsidR="00821F23" w:rsidRDefault="00821F23" w:rsidP="00821F23">
            <w:pPr>
              <w:rPr>
                <w:rFonts w:ascii="Candara" w:hAnsi="Candara"/>
              </w:rPr>
            </w:pPr>
          </w:p>
        </w:tc>
        <w:tc>
          <w:tcPr>
            <w:tcW w:w="2760" w:type="dxa"/>
            <w:tcBorders>
              <w:top w:val="nil"/>
              <w:left w:val="nil"/>
              <w:bottom w:val="nil"/>
              <w:right w:val="nil"/>
            </w:tcBorders>
            <w:noWrap/>
          </w:tcPr>
          <w:p w:rsidR="00821F23" w:rsidRDefault="00821F23" w:rsidP="00821F23">
            <w:pPr>
              <w:jc w:val="both"/>
              <w:rPr>
                <w:rFonts w:ascii="Candara" w:hAnsi="Candara"/>
              </w:rPr>
            </w:pPr>
          </w:p>
        </w:tc>
      </w:tr>
      <w:tr w:rsidR="0007351E" w:rsidRPr="00C26B1F" w:rsidTr="00393DE9">
        <w:trPr>
          <w:trHeight w:val="465"/>
        </w:trPr>
        <w:tc>
          <w:tcPr>
            <w:tcW w:w="4329" w:type="dxa"/>
            <w:tcBorders>
              <w:top w:val="nil"/>
              <w:left w:val="nil"/>
              <w:bottom w:val="nil"/>
              <w:right w:val="nil"/>
            </w:tcBorders>
            <w:noWrap/>
          </w:tcPr>
          <w:p w:rsidR="0007351E" w:rsidRDefault="0007351E" w:rsidP="00821F23">
            <w:pPr>
              <w:rPr>
                <w:rFonts w:ascii="Candara" w:hAnsi="Candara"/>
              </w:rPr>
            </w:pPr>
          </w:p>
        </w:tc>
        <w:tc>
          <w:tcPr>
            <w:tcW w:w="2760" w:type="dxa"/>
            <w:tcBorders>
              <w:top w:val="nil"/>
              <w:left w:val="nil"/>
              <w:bottom w:val="nil"/>
              <w:right w:val="nil"/>
            </w:tcBorders>
            <w:noWrap/>
          </w:tcPr>
          <w:p w:rsidR="0007351E" w:rsidRDefault="0007351E" w:rsidP="00821F23">
            <w:pPr>
              <w:jc w:val="both"/>
              <w:rPr>
                <w:rFonts w:ascii="Candara" w:hAnsi="Candara"/>
              </w:rPr>
            </w:pPr>
          </w:p>
        </w:tc>
      </w:tr>
      <w:tr w:rsidR="00821F23" w:rsidRPr="00C26B1F" w:rsidTr="00393DE9">
        <w:trPr>
          <w:trHeight w:val="465"/>
        </w:trPr>
        <w:tc>
          <w:tcPr>
            <w:tcW w:w="4329" w:type="dxa"/>
            <w:tcBorders>
              <w:top w:val="nil"/>
              <w:left w:val="nil"/>
              <w:bottom w:val="nil"/>
              <w:right w:val="nil"/>
            </w:tcBorders>
            <w:noWrap/>
          </w:tcPr>
          <w:p w:rsidR="00821F23" w:rsidRDefault="00821F23" w:rsidP="00821F23">
            <w:pPr>
              <w:rPr>
                <w:rFonts w:ascii="Candara" w:hAnsi="Candara"/>
              </w:rPr>
            </w:pPr>
          </w:p>
        </w:tc>
        <w:tc>
          <w:tcPr>
            <w:tcW w:w="2760" w:type="dxa"/>
            <w:tcBorders>
              <w:top w:val="nil"/>
              <w:left w:val="nil"/>
              <w:bottom w:val="nil"/>
              <w:right w:val="nil"/>
            </w:tcBorders>
            <w:noWrap/>
          </w:tcPr>
          <w:p w:rsidR="00821F23" w:rsidRDefault="00821F23" w:rsidP="00821F23">
            <w:pPr>
              <w:jc w:val="both"/>
              <w:rPr>
                <w:rFonts w:ascii="Candara" w:hAnsi="Candara"/>
              </w:rPr>
            </w:pPr>
          </w:p>
        </w:tc>
      </w:tr>
      <w:tr w:rsidR="00821F23" w:rsidRPr="00C26B1F" w:rsidTr="00393DE9">
        <w:trPr>
          <w:trHeight w:val="465"/>
        </w:trPr>
        <w:tc>
          <w:tcPr>
            <w:tcW w:w="4329" w:type="dxa"/>
            <w:tcBorders>
              <w:top w:val="nil"/>
              <w:left w:val="nil"/>
              <w:bottom w:val="nil"/>
              <w:right w:val="nil"/>
            </w:tcBorders>
            <w:noWrap/>
          </w:tcPr>
          <w:p w:rsidR="00821F23" w:rsidRDefault="00821F23" w:rsidP="00821F23">
            <w:pPr>
              <w:rPr>
                <w:rFonts w:ascii="Candara" w:hAnsi="Candara"/>
              </w:rPr>
            </w:pPr>
          </w:p>
        </w:tc>
        <w:tc>
          <w:tcPr>
            <w:tcW w:w="2760" w:type="dxa"/>
            <w:tcBorders>
              <w:top w:val="nil"/>
              <w:left w:val="nil"/>
              <w:bottom w:val="nil"/>
              <w:right w:val="nil"/>
            </w:tcBorders>
            <w:noWrap/>
          </w:tcPr>
          <w:p w:rsidR="00821F23" w:rsidRDefault="00821F23" w:rsidP="00821F23">
            <w:pPr>
              <w:jc w:val="both"/>
              <w:rPr>
                <w:rFonts w:ascii="Candara" w:hAnsi="Candara"/>
              </w:rPr>
            </w:pPr>
          </w:p>
        </w:tc>
      </w:tr>
      <w:tr w:rsidR="00821F23" w:rsidRPr="00C26B1F" w:rsidTr="00393DE9">
        <w:trPr>
          <w:trHeight w:val="465"/>
        </w:trPr>
        <w:tc>
          <w:tcPr>
            <w:tcW w:w="4329" w:type="dxa"/>
            <w:tcBorders>
              <w:top w:val="nil"/>
              <w:left w:val="nil"/>
              <w:bottom w:val="nil"/>
              <w:right w:val="nil"/>
            </w:tcBorders>
            <w:noWrap/>
          </w:tcPr>
          <w:p w:rsidR="00821F23" w:rsidRDefault="00821F23" w:rsidP="00821F23">
            <w:pPr>
              <w:rPr>
                <w:rFonts w:ascii="Candara" w:hAnsi="Candara"/>
              </w:rPr>
            </w:pPr>
          </w:p>
        </w:tc>
        <w:tc>
          <w:tcPr>
            <w:tcW w:w="2760" w:type="dxa"/>
            <w:tcBorders>
              <w:top w:val="nil"/>
              <w:left w:val="nil"/>
              <w:bottom w:val="nil"/>
              <w:right w:val="nil"/>
            </w:tcBorders>
            <w:noWrap/>
          </w:tcPr>
          <w:p w:rsidR="00821F23" w:rsidRDefault="00821F23" w:rsidP="00821F23">
            <w:pPr>
              <w:jc w:val="both"/>
              <w:rPr>
                <w:rFonts w:ascii="Candara" w:hAnsi="Candara"/>
              </w:rPr>
            </w:pPr>
          </w:p>
        </w:tc>
      </w:tr>
      <w:tr w:rsidR="00821F23" w:rsidRPr="00C26B1F" w:rsidTr="00393DE9">
        <w:trPr>
          <w:trHeight w:val="465"/>
        </w:trPr>
        <w:tc>
          <w:tcPr>
            <w:tcW w:w="4329" w:type="dxa"/>
            <w:tcBorders>
              <w:top w:val="nil"/>
              <w:left w:val="nil"/>
              <w:bottom w:val="nil"/>
              <w:right w:val="nil"/>
            </w:tcBorders>
            <w:noWrap/>
          </w:tcPr>
          <w:p w:rsidR="00821F23" w:rsidRDefault="00821F23" w:rsidP="00821F23">
            <w:pPr>
              <w:rPr>
                <w:rFonts w:ascii="Candara" w:hAnsi="Candara"/>
              </w:rPr>
            </w:pPr>
          </w:p>
        </w:tc>
        <w:tc>
          <w:tcPr>
            <w:tcW w:w="2760" w:type="dxa"/>
            <w:tcBorders>
              <w:top w:val="nil"/>
              <w:left w:val="nil"/>
              <w:bottom w:val="nil"/>
              <w:right w:val="nil"/>
            </w:tcBorders>
            <w:noWrap/>
          </w:tcPr>
          <w:p w:rsidR="00821F23" w:rsidRDefault="00821F23" w:rsidP="00821F23">
            <w:pPr>
              <w:jc w:val="both"/>
              <w:rPr>
                <w:rFonts w:ascii="Candara" w:hAnsi="Candara"/>
              </w:rPr>
            </w:pPr>
          </w:p>
        </w:tc>
      </w:tr>
    </w:tbl>
    <w:p w:rsidR="005F07AA" w:rsidRPr="00C26B1F" w:rsidRDefault="005F07AA" w:rsidP="00304037">
      <w:pPr>
        <w:jc w:val="both"/>
        <w:rPr>
          <w:rFonts w:ascii="Candara" w:hAnsi="Candara"/>
          <w:sz w:val="22"/>
          <w:szCs w:val="22"/>
          <w:highlight w:val="yellow"/>
        </w:rPr>
      </w:pPr>
    </w:p>
    <w:p w:rsidR="009B3117" w:rsidRPr="00822BCF" w:rsidRDefault="009B3117" w:rsidP="00304037">
      <w:pPr>
        <w:jc w:val="both"/>
        <w:rPr>
          <w:rFonts w:ascii="Candara" w:hAnsi="Candara"/>
          <w:sz w:val="22"/>
          <w:szCs w:val="22"/>
        </w:rPr>
      </w:pPr>
    </w:p>
    <w:sectPr w:rsidR="009B3117" w:rsidRPr="00822BCF" w:rsidSect="00DB7363">
      <w:headerReference w:type="even" r:id="rId32"/>
      <w:headerReference w:type="default" r:id="rId33"/>
      <w:footerReference w:type="even" r:id="rId34"/>
      <w:footerReference w:type="default" r:id="rId35"/>
      <w:pgSz w:w="11906" w:h="16838"/>
      <w:pgMar w:top="720" w:right="720" w:bottom="720" w:left="72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5B6" w:rsidRDefault="00DC65B6">
      <w:r>
        <w:separator/>
      </w:r>
    </w:p>
    <w:p w:rsidR="00DC65B6" w:rsidRDefault="00DC65B6"/>
  </w:endnote>
  <w:endnote w:type="continuationSeparator" w:id="0">
    <w:p w:rsidR="00DC65B6" w:rsidRDefault="00DC65B6">
      <w:r>
        <w:continuationSeparator/>
      </w:r>
    </w:p>
    <w:p w:rsidR="00DC65B6" w:rsidRDefault="00DC6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29" w:rsidRDefault="0003532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35329" w:rsidRDefault="00035329">
    <w:pPr>
      <w:pStyle w:val="Rodap"/>
      <w:ind w:right="360"/>
    </w:pPr>
  </w:p>
  <w:p w:rsidR="00035329" w:rsidRDefault="000353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29" w:rsidRPr="00DF69D1" w:rsidRDefault="00035329">
    <w:pPr>
      <w:pStyle w:val="Rodap"/>
      <w:jc w:val="right"/>
      <w:rPr>
        <w:rFonts w:ascii="Vrinda" w:hAnsi="Vrinda"/>
        <w:b/>
        <w:sz w:val="18"/>
      </w:rPr>
    </w:pPr>
    <w:r w:rsidRPr="00DF69D1">
      <w:rPr>
        <w:rFonts w:ascii="Vrinda" w:hAnsi="Vrinda"/>
        <w:b/>
        <w:sz w:val="18"/>
      </w:rPr>
      <w:fldChar w:fldCharType="begin"/>
    </w:r>
    <w:r w:rsidRPr="00DF69D1">
      <w:rPr>
        <w:rFonts w:ascii="Vrinda" w:hAnsi="Vrinda"/>
        <w:b/>
        <w:sz w:val="18"/>
      </w:rPr>
      <w:instrText>PAGE   \* MERGEFORMAT</w:instrText>
    </w:r>
    <w:r w:rsidRPr="00DF69D1">
      <w:rPr>
        <w:rFonts w:ascii="Vrinda" w:hAnsi="Vrinda"/>
        <w:b/>
        <w:sz w:val="18"/>
      </w:rPr>
      <w:fldChar w:fldCharType="separate"/>
    </w:r>
    <w:r w:rsidR="007C56B4">
      <w:rPr>
        <w:rFonts w:ascii="Vrinda" w:hAnsi="Vrinda"/>
        <w:b/>
        <w:noProof/>
        <w:sz w:val="18"/>
      </w:rPr>
      <w:t>14</w:t>
    </w:r>
    <w:r w:rsidRPr="00DF69D1">
      <w:rPr>
        <w:rFonts w:ascii="Vrinda" w:hAnsi="Vrinda"/>
        <w:b/>
        <w:sz w:val="18"/>
      </w:rPr>
      <w:fldChar w:fldCharType="end"/>
    </w:r>
  </w:p>
  <w:p w:rsidR="00035329" w:rsidRDefault="0003532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5B6" w:rsidRDefault="00DC65B6">
      <w:r>
        <w:separator/>
      </w:r>
    </w:p>
    <w:p w:rsidR="00DC65B6" w:rsidRDefault="00DC65B6"/>
  </w:footnote>
  <w:footnote w:type="continuationSeparator" w:id="0">
    <w:p w:rsidR="00DC65B6" w:rsidRDefault="00DC65B6">
      <w:r>
        <w:continuationSeparator/>
      </w:r>
    </w:p>
    <w:p w:rsidR="00DC65B6" w:rsidRDefault="00DC6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29" w:rsidRDefault="00035329">
    <w:pPr>
      <w:pStyle w:val="Cabealho"/>
    </w:pPr>
  </w:p>
  <w:p w:rsidR="00035329" w:rsidRDefault="000353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29" w:rsidRPr="00686F65" w:rsidRDefault="00E359CF" w:rsidP="00686F65">
    <w:pPr>
      <w:rPr>
        <w:rFonts w:ascii="Candara" w:hAnsi="Candara"/>
        <w:sz w:val="22"/>
        <w:szCs w:val="22"/>
      </w:rPr>
    </w:pPr>
    <w:r>
      <w:rPr>
        <w:rFonts w:ascii="Candara" w:hAnsi="Candara"/>
        <w:sz w:val="22"/>
        <w:szCs w:val="22"/>
      </w:rPr>
      <w:t xml:space="preserve">Centro de </w:t>
    </w:r>
    <w:r w:rsidR="00070A44">
      <w:rPr>
        <w:rFonts w:ascii="Candara" w:hAnsi="Candara"/>
        <w:sz w:val="22"/>
        <w:szCs w:val="22"/>
      </w:rPr>
      <w:t>D</w:t>
    </w:r>
    <w:r>
      <w:rPr>
        <w:rFonts w:ascii="Candara" w:hAnsi="Candara"/>
        <w:sz w:val="22"/>
        <w:szCs w:val="22"/>
      </w:rPr>
      <w:t xml:space="preserve">ia e Lar de </w:t>
    </w:r>
    <w:proofErr w:type="spellStart"/>
    <w:r>
      <w:rPr>
        <w:rFonts w:ascii="Candara" w:hAnsi="Candara"/>
        <w:sz w:val="22"/>
        <w:szCs w:val="22"/>
      </w:rPr>
      <w:t>Sta</w:t>
    </w:r>
    <w:proofErr w:type="spellEnd"/>
    <w:r>
      <w:rPr>
        <w:rFonts w:ascii="Candara" w:hAnsi="Candara"/>
        <w:sz w:val="22"/>
        <w:szCs w:val="22"/>
      </w:rPr>
      <w:t xml:space="preserve"> Ana de Azinha</w:t>
    </w:r>
  </w:p>
  <w:p w:rsidR="00035329" w:rsidRPr="000C5845" w:rsidRDefault="00035329" w:rsidP="00AB3FA4">
    <w:pPr>
      <w:pStyle w:val="Cabealho"/>
      <w:jc w:val="center"/>
      <w:rPr>
        <w:rFonts w:ascii="Candara" w:hAnsi="Candara"/>
        <w:i/>
        <w:color w:val="7F7F7F"/>
      </w:rPr>
    </w:pPr>
    <w:r>
      <w:rPr>
        <w:rFonts w:ascii="Candara" w:hAnsi="Candara"/>
        <w:i/>
        <w:color w:val="7F7F7F"/>
      </w:rPr>
      <w:t>Anexo – exercício de 2016</w:t>
    </w:r>
  </w:p>
  <w:p w:rsidR="00035329" w:rsidRDefault="00035329" w:rsidP="00A83DBB">
    <w:pPr>
      <w:pStyle w:val="Cabealho"/>
      <w:jc w:val="right"/>
    </w:pPr>
    <w:r>
      <w:rPr>
        <w:rFonts w:ascii="Candara" w:hAnsi="Candara"/>
        <w:b/>
        <w:i/>
        <w:color w:val="7F7F7F"/>
      </w:rPr>
      <w:t>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0849"/>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A324883"/>
    <w:multiLevelType w:val="multilevel"/>
    <w:tmpl w:val="728619A2"/>
    <w:lvl w:ilvl="0">
      <w:start w:val="1"/>
      <w:numFmt w:val="lowerLetter"/>
      <w:lvlText w:val="%1)"/>
      <w:lvlJc w:val="left"/>
      <w:pPr>
        <w:tabs>
          <w:tab w:val="num" w:pos="360"/>
        </w:tabs>
        <w:ind w:left="36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15:restartNumberingAfterBreak="0">
    <w:nsid w:val="0AD36C3F"/>
    <w:multiLevelType w:val="hybridMultilevel"/>
    <w:tmpl w:val="014894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0C347CF"/>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2B733C9"/>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AA307DD"/>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D2D7B83"/>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2C81B86"/>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45C0E27"/>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69D0063"/>
    <w:multiLevelType w:val="hybridMultilevel"/>
    <w:tmpl w:val="F6FCA932"/>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0" w15:restartNumberingAfterBreak="0">
    <w:nsid w:val="28C8282D"/>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5664AF7"/>
    <w:multiLevelType w:val="multilevel"/>
    <w:tmpl w:val="728619A2"/>
    <w:lvl w:ilvl="0">
      <w:start w:val="1"/>
      <w:numFmt w:val="lowerLetter"/>
      <w:lvlText w:val="%1)"/>
      <w:lvlJc w:val="left"/>
      <w:pPr>
        <w:tabs>
          <w:tab w:val="num" w:pos="360"/>
        </w:tabs>
        <w:ind w:left="36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 w15:restartNumberingAfterBreak="0">
    <w:nsid w:val="37D23FC4"/>
    <w:multiLevelType w:val="multilevel"/>
    <w:tmpl w:val="E5662D24"/>
    <w:lvl w:ilvl="0">
      <w:start w:val="1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664166"/>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6636DD8"/>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5E3C74AA"/>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3090E8C"/>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67A21222"/>
    <w:multiLevelType w:val="multilevel"/>
    <w:tmpl w:val="CDEEB1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276CD5"/>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79E63929"/>
    <w:multiLevelType w:val="hybridMultilevel"/>
    <w:tmpl w:val="125E0DF2"/>
    <w:lvl w:ilvl="0" w:tplc="57B2E0E2">
      <w:start w:val="1"/>
      <w:numFmt w:val="decimal"/>
      <w:lvlText w:val="%1."/>
      <w:lvlJc w:val="left"/>
      <w:pPr>
        <w:tabs>
          <w:tab w:val="num" w:pos="720"/>
        </w:tabs>
        <w:ind w:left="720" w:hanging="360"/>
      </w:pPr>
      <w:rPr>
        <w:rFonts w:hint="default"/>
        <w:b/>
        <w:i w:val="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0" w15:restartNumberingAfterBreak="0">
    <w:nsid w:val="7F652ADA"/>
    <w:multiLevelType w:val="hybridMultilevel"/>
    <w:tmpl w:val="D23AA176"/>
    <w:lvl w:ilvl="0" w:tplc="926CAEB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17"/>
  </w:num>
  <w:num w:numId="3">
    <w:abstractNumId w:val="15"/>
  </w:num>
  <w:num w:numId="4">
    <w:abstractNumId w:val="11"/>
  </w:num>
  <w:num w:numId="5">
    <w:abstractNumId w:val="2"/>
  </w:num>
  <w:num w:numId="6">
    <w:abstractNumId w:val="7"/>
  </w:num>
  <w:num w:numId="7">
    <w:abstractNumId w:val="8"/>
  </w:num>
  <w:num w:numId="8">
    <w:abstractNumId w:val="6"/>
  </w:num>
  <w:num w:numId="9">
    <w:abstractNumId w:val="3"/>
  </w:num>
  <w:num w:numId="10">
    <w:abstractNumId w:val="4"/>
  </w:num>
  <w:num w:numId="11">
    <w:abstractNumId w:val="14"/>
  </w:num>
  <w:num w:numId="12">
    <w:abstractNumId w:val="13"/>
  </w:num>
  <w:num w:numId="13">
    <w:abstractNumId w:val="9"/>
  </w:num>
  <w:num w:numId="14">
    <w:abstractNumId w:val="19"/>
  </w:num>
  <w:num w:numId="15">
    <w:abstractNumId w:val="5"/>
  </w:num>
  <w:num w:numId="16">
    <w:abstractNumId w:val="0"/>
  </w:num>
  <w:num w:numId="17">
    <w:abstractNumId w:val="20"/>
  </w:num>
  <w:num w:numId="18">
    <w:abstractNumId w:val="16"/>
  </w:num>
  <w:num w:numId="19">
    <w:abstractNumId w:val="18"/>
  </w:num>
  <w:num w:numId="20">
    <w:abstractNumId w:val="10"/>
  </w:num>
  <w:num w:numId="2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5D4"/>
    <w:rsid w:val="00000434"/>
    <w:rsid w:val="0000075F"/>
    <w:rsid w:val="00001239"/>
    <w:rsid w:val="000017A9"/>
    <w:rsid w:val="00002C54"/>
    <w:rsid w:val="00003585"/>
    <w:rsid w:val="00004892"/>
    <w:rsid w:val="00005494"/>
    <w:rsid w:val="00005708"/>
    <w:rsid w:val="000060B6"/>
    <w:rsid w:val="00006231"/>
    <w:rsid w:val="00007024"/>
    <w:rsid w:val="0001084D"/>
    <w:rsid w:val="00011EEA"/>
    <w:rsid w:val="00012897"/>
    <w:rsid w:val="0001306A"/>
    <w:rsid w:val="00014F86"/>
    <w:rsid w:val="000161C4"/>
    <w:rsid w:val="000165B8"/>
    <w:rsid w:val="00016F05"/>
    <w:rsid w:val="00017B35"/>
    <w:rsid w:val="00021155"/>
    <w:rsid w:val="000216B1"/>
    <w:rsid w:val="000217ED"/>
    <w:rsid w:val="00022AF0"/>
    <w:rsid w:val="00023124"/>
    <w:rsid w:val="00024214"/>
    <w:rsid w:val="000242E5"/>
    <w:rsid w:val="00024465"/>
    <w:rsid w:val="0002505D"/>
    <w:rsid w:val="00026080"/>
    <w:rsid w:val="0002703F"/>
    <w:rsid w:val="00027EAE"/>
    <w:rsid w:val="00030541"/>
    <w:rsid w:val="00030552"/>
    <w:rsid w:val="00030908"/>
    <w:rsid w:val="00031B7B"/>
    <w:rsid w:val="00031CD7"/>
    <w:rsid w:val="000332C4"/>
    <w:rsid w:val="000336AC"/>
    <w:rsid w:val="00034114"/>
    <w:rsid w:val="0003488A"/>
    <w:rsid w:val="00035329"/>
    <w:rsid w:val="00035557"/>
    <w:rsid w:val="000366B6"/>
    <w:rsid w:val="0003682C"/>
    <w:rsid w:val="00043F58"/>
    <w:rsid w:val="000452F1"/>
    <w:rsid w:val="00045B59"/>
    <w:rsid w:val="00045EB7"/>
    <w:rsid w:val="00046FA9"/>
    <w:rsid w:val="000475EE"/>
    <w:rsid w:val="0005009B"/>
    <w:rsid w:val="00050875"/>
    <w:rsid w:val="00050881"/>
    <w:rsid w:val="0005224C"/>
    <w:rsid w:val="00052790"/>
    <w:rsid w:val="00052CA9"/>
    <w:rsid w:val="00052FF1"/>
    <w:rsid w:val="000539BD"/>
    <w:rsid w:val="000542A6"/>
    <w:rsid w:val="00054699"/>
    <w:rsid w:val="00054FC5"/>
    <w:rsid w:val="0006161A"/>
    <w:rsid w:val="00063489"/>
    <w:rsid w:val="00063820"/>
    <w:rsid w:val="00064A0B"/>
    <w:rsid w:val="00064D82"/>
    <w:rsid w:val="0006547D"/>
    <w:rsid w:val="00065689"/>
    <w:rsid w:val="00065B17"/>
    <w:rsid w:val="0006733E"/>
    <w:rsid w:val="00070A44"/>
    <w:rsid w:val="00070CD6"/>
    <w:rsid w:val="000728E2"/>
    <w:rsid w:val="00072E69"/>
    <w:rsid w:val="0007317A"/>
    <w:rsid w:val="0007351E"/>
    <w:rsid w:val="00073F60"/>
    <w:rsid w:val="00074134"/>
    <w:rsid w:val="00076290"/>
    <w:rsid w:val="00076561"/>
    <w:rsid w:val="00077F07"/>
    <w:rsid w:val="00080F0C"/>
    <w:rsid w:val="0008123C"/>
    <w:rsid w:val="0008250A"/>
    <w:rsid w:val="000829DA"/>
    <w:rsid w:val="00084F73"/>
    <w:rsid w:val="0008552D"/>
    <w:rsid w:val="000867C9"/>
    <w:rsid w:val="00086D7F"/>
    <w:rsid w:val="00087B87"/>
    <w:rsid w:val="00090272"/>
    <w:rsid w:val="000903F9"/>
    <w:rsid w:val="00093512"/>
    <w:rsid w:val="00093F19"/>
    <w:rsid w:val="00094930"/>
    <w:rsid w:val="00094E4A"/>
    <w:rsid w:val="00096DD7"/>
    <w:rsid w:val="000A08AE"/>
    <w:rsid w:val="000A08E6"/>
    <w:rsid w:val="000A0A86"/>
    <w:rsid w:val="000A0F54"/>
    <w:rsid w:val="000A1F3B"/>
    <w:rsid w:val="000A2BA8"/>
    <w:rsid w:val="000A3974"/>
    <w:rsid w:val="000A3C47"/>
    <w:rsid w:val="000A460C"/>
    <w:rsid w:val="000A5526"/>
    <w:rsid w:val="000A5547"/>
    <w:rsid w:val="000A59B9"/>
    <w:rsid w:val="000A605A"/>
    <w:rsid w:val="000A6541"/>
    <w:rsid w:val="000A7F2F"/>
    <w:rsid w:val="000B1D9C"/>
    <w:rsid w:val="000B47BD"/>
    <w:rsid w:val="000B6D22"/>
    <w:rsid w:val="000B6DEE"/>
    <w:rsid w:val="000C01B2"/>
    <w:rsid w:val="000C14AE"/>
    <w:rsid w:val="000C19D5"/>
    <w:rsid w:val="000C485C"/>
    <w:rsid w:val="000C5845"/>
    <w:rsid w:val="000C6024"/>
    <w:rsid w:val="000C6558"/>
    <w:rsid w:val="000C779B"/>
    <w:rsid w:val="000D0FE9"/>
    <w:rsid w:val="000D15D7"/>
    <w:rsid w:val="000D1C97"/>
    <w:rsid w:val="000D38D1"/>
    <w:rsid w:val="000D5FF3"/>
    <w:rsid w:val="000D6D05"/>
    <w:rsid w:val="000D74E4"/>
    <w:rsid w:val="000E12A4"/>
    <w:rsid w:val="000E1509"/>
    <w:rsid w:val="000E5ACD"/>
    <w:rsid w:val="000F1B4C"/>
    <w:rsid w:val="000F1C12"/>
    <w:rsid w:val="000F3A8F"/>
    <w:rsid w:val="000F66A1"/>
    <w:rsid w:val="000F6E46"/>
    <w:rsid w:val="000F7C98"/>
    <w:rsid w:val="0010050F"/>
    <w:rsid w:val="0010107E"/>
    <w:rsid w:val="001012A6"/>
    <w:rsid w:val="00101908"/>
    <w:rsid w:val="00102D2D"/>
    <w:rsid w:val="00102DB1"/>
    <w:rsid w:val="00103A2D"/>
    <w:rsid w:val="001044B7"/>
    <w:rsid w:val="0010452B"/>
    <w:rsid w:val="001075CD"/>
    <w:rsid w:val="00107E42"/>
    <w:rsid w:val="0011053C"/>
    <w:rsid w:val="001125AD"/>
    <w:rsid w:val="00112868"/>
    <w:rsid w:val="00113B52"/>
    <w:rsid w:val="00113C39"/>
    <w:rsid w:val="001140EA"/>
    <w:rsid w:val="001150B6"/>
    <w:rsid w:val="00115BD5"/>
    <w:rsid w:val="00115C84"/>
    <w:rsid w:val="00115ED9"/>
    <w:rsid w:val="0011655E"/>
    <w:rsid w:val="00117463"/>
    <w:rsid w:val="001176F6"/>
    <w:rsid w:val="00117824"/>
    <w:rsid w:val="00121146"/>
    <w:rsid w:val="0012168A"/>
    <w:rsid w:val="001230E5"/>
    <w:rsid w:val="00123F58"/>
    <w:rsid w:val="00124E90"/>
    <w:rsid w:val="001250DB"/>
    <w:rsid w:val="00126226"/>
    <w:rsid w:val="001270D6"/>
    <w:rsid w:val="00127E78"/>
    <w:rsid w:val="001314E9"/>
    <w:rsid w:val="001324BD"/>
    <w:rsid w:val="00132EAC"/>
    <w:rsid w:val="001332FB"/>
    <w:rsid w:val="001345E1"/>
    <w:rsid w:val="0013698D"/>
    <w:rsid w:val="0013790F"/>
    <w:rsid w:val="0014025A"/>
    <w:rsid w:val="001423C6"/>
    <w:rsid w:val="00142DF0"/>
    <w:rsid w:val="0014436F"/>
    <w:rsid w:val="0014559B"/>
    <w:rsid w:val="001456E7"/>
    <w:rsid w:val="00147F57"/>
    <w:rsid w:val="0015149F"/>
    <w:rsid w:val="0015384E"/>
    <w:rsid w:val="00153956"/>
    <w:rsid w:val="00154CF9"/>
    <w:rsid w:val="00155AB3"/>
    <w:rsid w:val="00157476"/>
    <w:rsid w:val="00157745"/>
    <w:rsid w:val="00160AA4"/>
    <w:rsid w:val="00160F70"/>
    <w:rsid w:val="001613DA"/>
    <w:rsid w:val="001625E7"/>
    <w:rsid w:val="0016318C"/>
    <w:rsid w:val="00163354"/>
    <w:rsid w:val="00163F0B"/>
    <w:rsid w:val="0016440A"/>
    <w:rsid w:val="001657DE"/>
    <w:rsid w:val="00166A2E"/>
    <w:rsid w:val="0016750D"/>
    <w:rsid w:val="00170C95"/>
    <w:rsid w:val="00170CFE"/>
    <w:rsid w:val="00170E3E"/>
    <w:rsid w:val="00171186"/>
    <w:rsid w:val="00171F80"/>
    <w:rsid w:val="00171FEB"/>
    <w:rsid w:val="0017344F"/>
    <w:rsid w:val="001744EA"/>
    <w:rsid w:val="00176137"/>
    <w:rsid w:val="0017662B"/>
    <w:rsid w:val="001774C0"/>
    <w:rsid w:val="001801DB"/>
    <w:rsid w:val="00180CE5"/>
    <w:rsid w:val="00182E46"/>
    <w:rsid w:val="00184341"/>
    <w:rsid w:val="00186443"/>
    <w:rsid w:val="001877D4"/>
    <w:rsid w:val="00187AA3"/>
    <w:rsid w:val="00190F0D"/>
    <w:rsid w:val="001955CC"/>
    <w:rsid w:val="00195ED5"/>
    <w:rsid w:val="00195EF2"/>
    <w:rsid w:val="001962D1"/>
    <w:rsid w:val="00196B81"/>
    <w:rsid w:val="001977D5"/>
    <w:rsid w:val="001A04E7"/>
    <w:rsid w:val="001A12A3"/>
    <w:rsid w:val="001A17C3"/>
    <w:rsid w:val="001A1804"/>
    <w:rsid w:val="001A1B03"/>
    <w:rsid w:val="001A2AB0"/>
    <w:rsid w:val="001A2B4B"/>
    <w:rsid w:val="001A39C5"/>
    <w:rsid w:val="001A40EE"/>
    <w:rsid w:val="001A564C"/>
    <w:rsid w:val="001A6913"/>
    <w:rsid w:val="001A7240"/>
    <w:rsid w:val="001A7BB8"/>
    <w:rsid w:val="001B05B4"/>
    <w:rsid w:val="001B4CF7"/>
    <w:rsid w:val="001B50B0"/>
    <w:rsid w:val="001B53FA"/>
    <w:rsid w:val="001B569B"/>
    <w:rsid w:val="001B5CB2"/>
    <w:rsid w:val="001B70FD"/>
    <w:rsid w:val="001B762E"/>
    <w:rsid w:val="001B7AFB"/>
    <w:rsid w:val="001C1599"/>
    <w:rsid w:val="001C1B49"/>
    <w:rsid w:val="001C3080"/>
    <w:rsid w:val="001C4EF6"/>
    <w:rsid w:val="001C6D78"/>
    <w:rsid w:val="001C75EE"/>
    <w:rsid w:val="001D0D33"/>
    <w:rsid w:val="001D0E34"/>
    <w:rsid w:val="001D1D61"/>
    <w:rsid w:val="001D33E6"/>
    <w:rsid w:val="001D488B"/>
    <w:rsid w:val="001D68F6"/>
    <w:rsid w:val="001D6A35"/>
    <w:rsid w:val="001D6D86"/>
    <w:rsid w:val="001D6E45"/>
    <w:rsid w:val="001D73F8"/>
    <w:rsid w:val="001D7622"/>
    <w:rsid w:val="001E0210"/>
    <w:rsid w:val="001E0361"/>
    <w:rsid w:val="001E2582"/>
    <w:rsid w:val="001E297D"/>
    <w:rsid w:val="001E29CE"/>
    <w:rsid w:val="001E39E8"/>
    <w:rsid w:val="001E3D51"/>
    <w:rsid w:val="001E4060"/>
    <w:rsid w:val="001E4BCB"/>
    <w:rsid w:val="001E4FA3"/>
    <w:rsid w:val="001E6294"/>
    <w:rsid w:val="001E798E"/>
    <w:rsid w:val="001F1D24"/>
    <w:rsid w:val="001F2DD0"/>
    <w:rsid w:val="001F32B0"/>
    <w:rsid w:val="001F3A9C"/>
    <w:rsid w:val="001F4EE6"/>
    <w:rsid w:val="001F645F"/>
    <w:rsid w:val="001F7D0A"/>
    <w:rsid w:val="00200034"/>
    <w:rsid w:val="002011CB"/>
    <w:rsid w:val="002019BD"/>
    <w:rsid w:val="002021BB"/>
    <w:rsid w:val="0020396D"/>
    <w:rsid w:val="00203DF6"/>
    <w:rsid w:val="002046EB"/>
    <w:rsid w:val="00205226"/>
    <w:rsid w:val="002057E4"/>
    <w:rsid w:val="00207548"/>
    <w:rsid w:val="00207918"/>
    <w:rsid w:val="00207C44"/>
    <w:rsid w:val="002157E5"/>
    <w:rsid w:val="002170A7"/>
    <w:rsid w:val="002206F3"/>
    <w:rsid w:val="00221322"/>
    <w:rsid w:val="002228B5"/>
    <w:rsid w:val="0022371B"/>
    <w:rsid w:val="00224056"/>
    <w:rsid w:val="002258A2"/>
    <w:rsid w:val="0022619C"/>
    <w:rsid w:val="00230D82"/>
    <w:rsid w:val="0023136F"/>
    <w:rsid w:val="0023283F"/>
    <w:rsid w:val="00233431"/>
    <w:rsid w:val="00235DBF"/>
    <w:rsid w:val="002366BB"/>
    <w:rsid w:val="0023743E"/>
    <w:rsid w:val="0024034C"/>
    <w:rsid w:val="002405DF"/>
    <w:rsid w:val="002425D3"/>
    <w:rsid w:val="00242679"/>
    <w:rsid w:val="0024290B"/>
    <w:rsid w:val="00242B24"/>
    <w:rsid w:val="00246AC2"/>
    <w:rsid w:val="00246B97"/>
    <w:rsid w:val="00247FDE"/>
    <w:rsid w:val="00251090"/>
    <w:rsid w:val="00251790"/>
    <w:rsid w:val="00251FFF"/>
    <w:rsid w:val="0025228E"/>
    <w:rsid w:val="002527D7"/>
    <w:rsid w:val="00252EB7"/>
    <w:rsid w:val="002537C5"/>
    <w:rsid w:val="00253968"/>
    <w:rsid w:val="00253DDB"/>
    <w:rsid w:val="002569C2"/>
    <w:rsid w:val="002576E8"/>
    <w:rsid w:val="00257B98"/>
    <w:rsid w:val="00260CBC"/>
    <w:rsid w:val="002611AD"/>
    <w:rsid w:val="002613F4"/>
    <w:rsid w:val="0026193A"/>
    <w:rsid w:val="00261DA7"/>
    <w:rsid w:val="00262034"/>
    <w:rsid w:val="002620AE"/>
    <w:rsid w:val="00262BDF"/>
    <w:rsid w:val="0026623F"/>
    <w:rsid w:val="002666D1"/>
    <w:rsid w:val="00267D36"/>
    <w:rsid w:val="0027192C"/>
    <w:rsid w:val="00275639"/>
    <w:rsid w:val="0027742B"/>
    <w:rsid w:val="002778F1"/>
    <w:rsid w:val="00280B1A"/>
    <w:rsid w:val="002818D6"/>
    <w:rsid w:val="0028221C"/>
    <w:rsid w:val="002830B9"/>
    <w:rsid w:val="00283F8B"/>
    <w:rsid w:val="002842EC"/>
    <w:rsid w:val="00284F27"/>
    <w:rsid w:val="0028576E"/>
    <w:rsid w:val="002857E0"/>
    <w:rsid w:val="002862DB"/>
    <w:rsid w:val="0028692F"/>
    <w:rsid w:val="00287CF9"/>
    <w:rsid w:val="00290465"/>
    <w:rsid w:val="00291C59"/>
    <w:rsid w:val="00291E73"/>
    <w:rsid w:val="00292BD1"/>
    <w:rsid w:val="00292C7F"/>
    <w:rsid w:val="00293BD1"/>
    <w:rsid w:val="00294683"/>
    <w:rsid w:val="00295191"/>
    <w:rsid w:val="00295B44"/>
    <w:rsid w:val="002969DD"/>
    <w:rsid w:val="0029703C"/>
    <w:rsid w:val="002A16FB"/>
    <w:rsid w:val="002A1E08"/>
    <w:rsid w:val="002A280B"/>
    <w:rsid w:val="002A2FCC"/>
    <w:rsid w:val="002A41B3"/>
    <w:rsid w:val="002A5DC5"/>
    <w:rsid w:val="002A624E"/>
    <w:rsid w:val="002A69D0"/>
    <w:rsid w:val="002A7615"/>
    <w:rsid w:val="002A7D03"/>
    <w:rsid w:val="002B0417"/>
    <w:rsid w:val="002B1A71"/>
    <w:rsid w:val="002B31F1"/>
    <w:rsid w:val="002B3657"/>
    <w:rsid w:val="002B3A06"/>
    <w:rsid w:val="002B4B03"/>
    <w:rsid w:val="002B7FCA"/>
    <w:rsid w:val="002C100D"/>
    <w:rsid w:val="002C19CE"/>
    <w:rsid w:val="002C4380"/>
    <w:rsid w:val="002C4A8A"/>
    <w:rsid w:val="002C6AE3"/>
    <w:rsid w:val="002D120F"/>
    <w:rsid w:val="002D17EB"/>
    <w:rsid w:val="002D28F5"/>
    <w:rsid w:val="002D5ED5"/>
    <w:rsid w:val="002D61AA"/>
    <w:rsid w:val="002D636C"/>
    <w:rsid w:val="002D738A"/>
    <w:rsid w:val="002E1CAF"/>
    <w:rsid w:val="002E3C88"/>
    <w:rsid w:val="002E4DA6"/>
    <w:rsid w:val="002E7456"/>
    <w:rsid w:val="002E7527"/>
    <w:rsid w:val="002E7D24"/>
    <w:rsid w:val="002F156D"/>
    <w:rsid w:val="002F1789"/>
    <w:rsid w:val="002F2180"/>
    <w:rsid w:val="002F59F4"/>
    <w:rsid w:val="002F5ABD"/>
    <w:rsid w:val="002F5DE2"/>
    <w:rsid w:val="002F69D3"/>
    <w:rsid w:val="002F788E"/>
    <w:rsid w:val="0030049C"/>
    <w:rsid w:val="0030163C"/>
    <w:rsid w:val="00302BBE"/>
    <w:rsid w:val="00303D94"/>
    <w:rsid w:val="00304037"/>
    <w:rsid w:val="0030488D"/>
    <w:rsid w:val="00304A59"/>
    <w:rsid w:val="003063D6"/>
    <w:rsid w:val="00311485"/>
    <w:rsid w:val="00314C1A"/>
    <w:rsid w:val="00314EB7"/>
    <w:rsid w:val="00316B84"/>
    <w:rsid w:val="003201E3"/>
    <w:rsid w:val="00322E3A"/>
    <w:rsid w:val="0032302D"/>
    <w:rsid w:val="00323301"/>
    <w:rsid w:val="00323480"/>
    <w:rsid w:val="003240BF"/>
    <w:rsid w:val="003257B4"/>
    <w:rsid w:val="00326779"/>
    <w:rsid w:val="00330365"/>
    <w:rsid w:val="00330B6D"/>
    <w:rsid w:val="00331277"/>
    <w:rsid w:val="003313CC"/>
    <w:rsid w:val="00331B15"/>
    <w:rsid w:val="00331DE8"/>
    <w:rsid w:val="00333820"/>
    <w:rsid w:val="00333FF4"/>
    <w:rsid w:val="00334FE4"/>
    <w:rsid w:val="00335A0F"/>
    <w:rsid w:val="00335B55"/>
    <w:rsid w:val="00335D4A"/>
    <w:rsid w:val="00336F8C"/>
    <w:rsid w:val="003409F6"/>
    <w:rsid w:val="00340D4C"/>
    <w:rsid w:val="00340E12"/>
    <w:rsid w:val="00342975"/>
    <w:rsid w:val="0034392D"/>
    <w:rsid w:val="00344500"/>
    <w:rsid w:val="0034468E"/>
    <w:rsid w:val="00344ACE"/>
    <w:rsid w:val="003452BB"/>
    <w:rsid w:val="00345350"/>
    <w:rsid w:val="00347FCE"/>
    <w:rsid w:val="003511F7"/>
    <w:rsid w:val="00351917"/>
    <w:rsid w:val="00351F2A"/>
    <w:rsid w:val="0035497F"/>
    <w:rsid w:val="00356AEF"/>
    <w:rsid w:val="00357505"/>
    <w:rsid w:val="00357A48"/>
    <w:rsid w:val="00360A28"/>
    <w:rsid w:val="00360BDA"/>
    <w:rsid w:val="00363F95"/>
    <w:rsid w:val="00365062"/>
    <w:rsid w:val="00366DEC"/>
    <w:rsid w:val="003703CF"/>
    <w:rsid w:val="00371921"/>
    <w:rsid w:val="00372B5E"/>
    <w:rsid w:val="00373D67"/>
    <w:rsid w:val="003742DF"/>
    <w:rsid w:val="0037537F"/>
    <w:rsid w:val="003754F0"/>
    <w:rsid w:val="00375D55"/>
    <w:rsid w:val="00376795"/>
    <w:rsid w:val="0037744A"/>
    <w:rsid w:val="00380093"/>
    <w:rsid w:val="0038105F"/>
    <w:rsid w:val="00381276"/>
    <w:rsid w:val="00381539"/>
    <w:rsid w:val="0038241B"/>
    <w:rsid w:val="00382B1C"/>
    <w:rsid w:val="00384B39"/>
    <w:rsid w:val="00386ABF"/>
    <w:rsid w:val="003903B7"/>
    <w:rsid w:val="00391C0D"/>
    <w:rsid w:val="00391D50"/>
    <w:rsid w:val="00393DE9"/>
    <w:rsid w:val="003958B7"/>
    <w:rsid w:val="003A091F"/>
    <w:rsid w:val="003A1653"/>
    <w:rsid w:val="003A252C"/>
    <w:rsid w:val="003A3915"/>
    <w:rsid w:val="003A4198"/>
    <w:rsid w:val="003A6866"/>
    <w:rsid w:val="003A7129"/>
    <w:rsid w:val="003A76B3"/>
    <w:rsid w:val="003B11B8"/>
    <w:rsid w:val="003B21D2"/>
    <w:rsid w:val="003B3972"/>
    <w:rsid w:val="003B44C3"/>
    <w:rsid w:val="003B6217"/>
    <w:rsid w:val="003B6FC8"/>
    <w:rsid w:val="003B75F2"/>
    <w:rsid w:val="003C008D"/>
    <w:rsid w:val="003C0135"/>
    <w:rsid w:val="003C028E"/>
    <w:rsid w:val="003C07BE"/>
    <w:rsid w:val="003C0E48"/>
    <w:rsid w:val="003C3108"/>
    <w:rsid w:val="003C56C7"/>
    <w:rsid w:val="003D195A"/>
    <w:rsid w:val="003D2985"/>
    <w:rsid w:val="003D2AC0"/>
    <w:rsid w:val="003D3469"/>
    <w:rsid w:val="003D35FE"/>
    <w:rsid w:val="003D4243"/>
    <w:rsid w:val="003D491D"/>
    <w:rsid w:val="003D4CC3"/>
    <w:rsid w:val="003D6198"/>
    <w:rsid w:val="003E0554"/>
    <w:rsid w:val="003E4A4F"/>
    <w:rsid w:val="003E4B41"/>
    <w:rsid w:val="003E4F7B"/>
    <w:rsid w:val="003E5576"/>
    <w:rsid w:val="003E59FF"/>
    <w:rsid w:val="003E65C4"/>
    <w:rsid w:val="003E7AF9"/>
    <w:rsid w:val="003F15D4"/>
    <w:rsid w:val="003F1873"/>
    <w:rsid w:val="003F1C15"/>
    <w:rsid w:val="003F21E2"/>
    <w:rsid w:val="003F2E7F"/>
    <w:rsid w:val="003F3790"/>
    <w:rsid w:val="003F4D2F"/>
    <w:rsid w:val="003F6537"/>
    <w:rsid w:val="004012A1"/>
    <w:rsid w:val="00401DF0"/>
    <w:rsid w:val="00402E64"/>
    <w:rsid w:val="00403790"/>
    <w:rsid w:val="004101FC"/>
    <w:rsid w:val="004104DF"/>
    <w:rsid w:val="004113DF"/>
    <w:rsid w:val="00411D90"/>
    <w:rsid w:val="00414327"/>
    <w:rsid w:val="004156F4"/>
    <w:rsid w:val="004165BD"/>
    <w:rsid w:val="004167C6"/>
    <w:rsid w:val="00416A68"/>
    <w:rsid w:val="00416A6F"/>
    <w:rsid w:val="00416CCD"/>
    <w:rsid w:val="00420678"/>
    <w:rsid w:val="004207A7"/>
    <w:rsid w:val="004211EB"/>
    <w:rsid w:val="0042178C"/>
    <w:rsid w:val="00423EA1"/>
    <w:rsid w:val="00424F0C"/>
    <w:rsid w:val="0042751B"/>
    <w:rsid w:val="00430BE0"/>
    <w:rsid w:val="00430F2E"/>
    <w:rsid w:val="00431735"/>
    <w:rsid w:val="0043290A"/>
    <w:rsid w:val="004338DA"/>
    <w:rsid w:val="004343D6"/>
    <w:rsid w:val="00437AFF"/>
    <w:rsid w:val="00441A62"/>
    <w:rsid w:val="00441A9B"/>
    <w:rsid w:val="00441B9D"/>
    <w:rsid w:val="004420CC"/>
    <w:rsid w:val="00443745"/>
    <w:rsid w:val="00443BF0"/>
    <w:rsid w:val="0044415A"/>
    <w:rsid w:val="00447796"/>
    <w:rsid w:val="004500E9"/>
    <w:rsid w:val="00451E03"/>
    <w:rsid w:val="004523EC"/>
    <w:rsid w:val="00453033"/>
    <w:rsid w:val="00453E8A"/>
    <w:rsid w:val="004549F4"/>
    <w:rsid w:val="00454E5A"/>
    <w:rsid w:val="0045542F"/>
    <w:rsid w:val="00455690"/>
    <w:rsid w:val="004556D7"/>
    <w:rsid w:val="00456E09"/>
    <w:rsid w:val="00457952"/>
    <w:rsid w:val="00461C4A"/>
    <w:rsid w:val="0046420D"/>
    <w:rsid w:val="004646BB"/>
    <w:rsid w:val="00465532"/>
    <w:rsid w:val="00466540"/>
    <w:rsid w:val="00466CD8"/>
    <w:rsid w:val="004723CA"/>
    <w:rsid w:val="0047508A"/>
    <w:rsid w:val="00475FA7"/>
    <w:rsid w:val="004763FC"/>
    <w:rsid w:val="00477A2C"/>
    <w:rsid w:val="0048048A"/>
    <w:rsid w:val="00487BED"/>
    <w:rsid w:val="00487D3A"/>
    <w:rsid w:val="004901B7"/>
    <w:rsid w:val="0049145D"/>
    <w:rsid w:val="00491688"/>
    <w:rsid w:val="004947DA"/>
    <w:rsid w:val="004947DC"/>
    <w:rsid w:val="00494F7D"/>
    <w:rsid w:val="004969FD"/>
    <w:rsid w:val="00496C5E"/>
    <w:rsid w:val="00496CBF"/>
    <w:rsid w:val="004A04C1"/>
    <w:rsid w:val="004A1444"/>
    <w:rsid w:val="004A3751"/>
    <w:rsid w:val="004A67BB"/>
    <w:rsid w:val="004A759F"/>
    <w:rsid w:val="004B2458"/>
    <w:rsid w:val="004B2E1F"/>
    <w:rsid w:val="004B37EA"/>
    <w:rsid w:val="004B4358"/>
    <w:rsid w:val="004B5F19"/>
    <w:rsid w:val="004B781C"/>
    <w:rsid w:val="004C2B78"/>
    <w:rsid w:val="004C32F5"/>
    <w:rsid w:val="004C567C"/>
    <w:rsid w:val="004C5900"/>
    <w:rsid w:val="004C5A50"/>
    <w:rsid w:val="004C648D"/>
    <w:rsid w:val="004C6629"/>
    <w:rsid w:val="004C674C"/>
    <w:rsid w:val="004D1EC8"/>
    <w:rsid w:val="004D3952"/>
    <w:rsid w:val="004D3EEE"/>
    <w:rsid w:val="004D4F58"/>
    <w:rsid w:val="004D6A64"/>
    <w:rsid w:val="004D7522"/>
    <w:rsid w:val="004E0BAC"/>
    <w:rsid w:val="004E1E27"/>
    <w:rsid w:val="004E2AD7"/>
    <w:rsid w:val="004E5C6E"/>
    <w:rsid w:val="004E5F18"/>
    <w:rsid w:val="004E60B8"/>
    <w:rsid w:val="004E65E0"/>
    <w:rsid w:val="004E6F62"/>
    <w:rsid w:val="004E7B82"/>
    <w:rsid w:val="004F04AC"/>
    <w:rsid w:val="004F10AE"/>
    <w:rsid w:val="004F1127"/>
    <w:rsid w:val="004F1DA7"/>
    <w:rsid w:val="004F2D52"/>
    <w:rsid w:val="004F2FC4"/>
    <w:rsid w:val="004F4AC0"/>
    <w:rsid w:val="004F5AB2"/>
    <w:rsid w:val="004F698B"/>
    <w:rsid w:val="00501808"/>
    <w:rsid w:val="005029EA"/>
    <w:rsid w:val="00502F22"/>
    <w:rsid w:val="00505C47"/>
    <w:rsid w:val="005065C7"/>
    <w:rsid w:val="005067CC"/>
    <w:rsid w:val="00510003"/>
    <w:rsid w:val="00511225"/>
    <w:rsid w:val="00511CEC"/>
    <w:rsid w:val="00513D51"/>
    <w:rsid w:val="00514463"/>
    <w:rsid w:val="00515847"/>
    <w:rsid w:val="00516278"/>
    <w:rsid w:val="00517373"/>
    <w:rsid w:val="0052044A"/>
    <w:rsid w:val="00523958"/>
    <w:rsid w:val="00523D46"/>
    <w:rsid w:val="00525412"/>
    <w:rsid w:val="00527F39"/>
    <w:rsid w:val="00530C9C"/>
    <w:rsid w:val="00532385"/>
    <w:rsid w:val="00535460"/>
    <w:rsid w:val="00535867"/>
    <w:rsid w:val="005358FF"/>
    <w:rsid w:val="00535E5A"/>
    <w:rsid w:val="00540D1A"/>
    <w:rsid w:val="00540FEA"/>
    <w:rsid w:val="00541CD3"/>
    <w:rsid w:val="00541F30"/>
    <w:rsid w:val="0054329F"/>
    <w:rsid w:val="005443B2"/>
    <w:rsid w:val="00546B58"/>
    <w:rsid w:val="00547FB9"/>
    <w:rsid w:val="0055026A"/>
    <w:rsid w:val="00552F29"/>
    <w:rsid w:val="00553635"/>
    <w:rsid w:val="00554E65"/>
    <w:rsid w:val="005564E4"/>
    <w:rsid w:val="005566B8"/>
    <w:rsid w:val="005613C3"/>
    <w:rsid w:val="005626C1"/>
    <w:rsid w:val="0056376C"/>
    <w:rsid w:val="0056388C"/>
    <w:rsid w:val="00563D3D"/>
    <w:rsid w:val="00564569"/>
    <w:rsid w:val="005655E3"/>
    <w:rsid w:val="00566AA4"/>
    <w:rsid w:val="0057003D"/>
    <w:rsid w:val="0057024D"/>
    <w:rsid w:val="0057025C"/>
    <w:rsid w:val="00571579"/>
    <w:rsid w:val="005715E2"/>
    <w:rsid w:val="005722D7"/>
    <w:rsid w:val="00573829"/>
    <w:rsid w:val="00574011"/>
    <w:rsid w:val="00574534"/>
    <w:rsid w:val="00575329"/>
    <w:rsid w:val="00576EA5"/>
    <w:rsid w:val="00577AC3"/>
    <w:rsid w:val="00580374"/>
    <w:rsid w:val="00580D4F"/>
    <w:rsid w:val="00581409"/>
    <w:rsid w:val="005829F2"/>
    <w:rsid w:val="00582AFA"/>
    <w:rsid w:val="0059312E"/>
    <w:rsid w:val="00594419"/>
    <w:rsid w:val="00596396"/>
    <w:rsid w:val="005A030D"/>
    <w:rsid w:val="005A17E0"/>
    <w:rsid w:val="005A1D9C"/>
    <w:rsid w:val="005A32A1"/>
    <w:rsid w:val="005A48E6"/>
    <w:rsid w:val="005A4988"/>
    <w:rsid w:val="005A5547"/>
    <w:rsid w:val="005A56E4"/>
    <w:rsid w:val="005A623E"/>
    <w:rsid w:val="005A624C"/>
    <w:rsid w:val="005A6A7F"/>
    <w:rsid w:val="005A6C3F"/>
    <w:rsid w:val="005A795D"/>
    <w:rsid w:val="005A7A8F"/>
    <w:rsid w:val="005B1D2D"/>
    <w:rsid w:val="005B2A71"/>
    <w:rsid w:val="005B36E3"/>
    <w:rsid w:val="005B374F"/>
    <w:rsid w:val="005B4C41"/>
    <w:rsid w:val="005B511B"/>
    <w:rsid w:val="005B6905"/>
    <w:rsid w:val="005B6D83"/>
    <w:rsid w:val="005B706C"/>
    <w:rsid w:val="005B74C1"/>
    <w:rsid w:val="005C074E"/>
    <w:rsid w:val="005C29C4"/>
    <w:rsid w:val="005C3106"/>
    <w:rsid w:val="005C39DB"/>
    <w:rsid w:val="005C3F21"/>
    <w:rsid w:val="005C5477"/>
    <w:rsid w:val="005C5CA5"/>
    <w:rsid w:val="005C6667"/>
    <w:rsid w:val="005D35DA"/>
    <w:rsid w:val="005D3702"/>
    <w:rsid w:val="005D3DCF"/>
    <w:rsid w:val="005D3E14"/>
    <w:rsid w:val="005D4B12"/>
    <w:rsid w:val="005D550C"/>
    <w:rsid w:val="005E02C9"/>
    <w:rsid w:val="005E2D22"/>
    <w:rsid w:val="005E3B56"/>
    <w:rsid w:val="005E3D16"/>
    <w:rsid w:val="005E51B5"/>
    <w:rsid w:val="005F0309"/>
    <w:rsid w:val="005F07AA"/>
    <w:rsid w:val="005F2385"/>
    <w:rsid w:val="005F2F4F"/>
    <w:rsid w:val="005F43DE"/>
    <w:rsid w:val="005F4708"/>
    <w:rsid w:val="005F7443"/>
    <w:rsid w:val="005F77A3"/>
    <w:rsid w:val="00600B42"/>
    <w:rsid w:val="006010EC"/>
    <w:rsid w:val="006012A5"/>
    <w:rsid w:val="00601C46"/>
    <w:rsid w:val="006024A9"/>
    <w:rsid w:val="00605B61"/>
    <w:rsid w:val="00605C9B"/>
    <w:rsid w:val="00605CBD"/>
    <w:rsid w:val="0060739C"/>
    <w:rsid w:val="00607564"/>
    <w:rsid w:val="006078FF"/>
    <w:rsid w:val="00610229"/>
    <w:rsid w:val="00610A3F"/>
    <w:rsid w:val="006111BA"/>
    <w:rsid w:val="006115E4"/>
    <w:rsid w:val="00612912"/>
    <w:rsid w:val="00613BEE"/>
    <w:rsid w:val="006140D7"/>
    <w:rsid w:val="00615296"/>
    <w:rsid w:val="00615CD4"/>
    <w:rsid w:val="00617172"/>
    <w:rsid w:val="0061760C"/>
    <w:rsid w:val="00617AB7"/>
    <w:rsid w:val="0062097C"/>
    <w:rsid w:val="00621355"/>
    <w:rsid w:val="00621DE2"/>
    <w:rsid w:val="006223E5"/>
    <w:rsid w:val="00622B8F"/>
    <w:rsid w:val="0062429D"/>
    <w:rsid w:val="00624433"/>
    <w:rsid w:val="00624E7B"/>
    <w:rsid w:val="006257F6"/>
    <w:rsid w:val="006266F8"/>
    <w:rsid w:val="00627767"/>
    <w:rsid w:val="00627C49"/>
    <w:rsid w:val="006304A9"/>
    <w:rsid w:val="0063155B"/>
    <w:rsid w:val="006315B8"/>
    <w:rsid w:val="00631D32"/>
    <w:rsid w:val="00632CE9"/>
    <w:rsid w:val="0063325D"/>
    <w:rsid w:val="006332CB"/>
    <w:rsid w:val="0063438F"/>
    <w:rsid w:val="0063454E"/>
    <w:rsid w:val="006350F2"/>
    <w:rsid w:val="006354EF"/>
    <w:rsid w:val="00640043"/>
    <w:rsid w:val="00640D04"/>
    <w:rsid w:val="006412A9"/>
    <w:rsid w:val="0064408E"/>
    <w:rsid w:val="00644C5F"/>
    <w:rsid w:val="00645086"/>
    <w:rsid w:val="0064534B"/>
    <w:rsid w:val="006458C9"/>
    <w:rsid w:val="006461DA"/>
    <w:rsid w:val="00647C4F"/>
    <w:rsid w:val="00647E2E"/>
    <w:rsid w:val="006501B5"/>
    <w:rsid w:val="00653484"/>
    <w:rsid w:val="00655051"/>
    <w:rsid w:val="00655F56"/>
    <w:rsid w:val="00655F66"/>
    <w:rsid w:val="0065704C"/>
    <w:rsid w:val="00657C30"/>
    <w:rsid w:val="006605E3"/>
    <w:rsid w:val="00660F74"/>
    <w:rsid w:val="0066328F"/>
    <w:rsid w:val="00666CB5"/>
    <w:rsid w:val="00667581"/>
    <w:rsid w:val="00670F79"/>
    <w:rsid w:val="0067154F"/>
    <w:rsid w:val="0067208D"/>
    <w:rsid w:val="00673756"/>
    <w:rsid w:val="006738E6"/>
    <w:rsid w:val="00675324"/>
    <w:rsid w:val="006755DD"/>
    <w:rsid w:val="00680518"/>
    <w:rsid w:val="006812BB"/>
    <w:rsid w:val="00682039"/>
    <w:rsid w:val="00682384"/>
    <w:rsid w:val="00683239"/>
    <w:rsid w:val="0068349B"/>
    <w:rsid w:val="00683DA6"/>
    <w:rsid w:val="00686F65"/>
    <w:rsid w:val="00687437"/>
    <w:rsid w:val="006908FA"/>
    <w:rsid w:val="00690FA7"/>
    <w:rsid w:val="006926D3"/>
    <w:rsid w:val="00692C73"/>
    <w:rsid w:val="006937A5"/>
    <w:rsid w:val="006937C2"/>
    <w:rsid w:val="00693BE8"/>
    <w:rsid w:val="00695C7B"/>
    <w:rsid w:val="0069634D"/>
    <w:rsid w:val="006965BD"/>
    <w:rsid w:val="006966E9"/>
    <w:rsid w:val="00696BFF"/>
    <w:rsid w:val="00697155"/>
    <w:rsid w:val="006A034A"/>
    <w:rsid w:val="006A0568"/>
    <w:rsid w:val="006A095F"/>
    <w:rsid w:val="006A1DD2"/>
    <w:rsid w:val="006A2544"/>
    <w:rsid w:val="006A2930"/>
    <w:rsid w:val="006A44AE"/>
    <w:rsid w:val="006A5DC4"/>
    <w:rsid w:val="006A7CD7"/>
    <w:rsid w:val="006B29B9"/>
    <w:rsid w:val="006B320C"/>
    <w:rsid w:val="006B6249"/>
    <w:rsid w:val="006B653B"/>
    <w:rsid w:val="006B6A23"/>
    <w:rsid w:val="006B73A4"/>
    <w:rsid w:val="006C3380"/>
    <w:rsid w:val="006C4087"/>
    <w:rsid w:val="006C47EE"/>
    <w:rsid w:val="006C51CD"/>
    <w:rsid w:val="006C5829"/>
    <w:rsid w:val="006D05AA"/>
    <w:rsid w:val="006D1427"/>
    <w:rsid w:val="006D1BDF"/>
    <w:rsid w:val="006D23EC"/>
    <w:rsid w:val="006D288B"/>
    <w:rsid w:val="006D2C64"/>
    <w:rsid w:val="006D5D0A"/>
    <w:rsid w:val="006D6658"/>
    <w:rsid w:val="006D6D92"/>
    <w:rsid w:val="006E0D78"/>
    <w:rsid w:val="006E1F8D"/>
    <w:rsid w:val="006E4E7B"/>
    <w:rsid w:val="006E6704"/>
    <w:rsid w:val="006E6F6F"/>
    <w:rsid w:val="006E7D39"/>
    <w:rsid w:val="006F3669"/>
    <w:rsid w:val="006F380F"/>
    <w:rsid w:val="006F4808"/>
    <w:rsid w:val="006F6039"/>
    <w:rsid w:val="006F6A52"/>
    <w:rsid w:val="006F702E"/>
    <w:rsid w:val="006F789C"/>
    <w:rsid w:val="006F78BA"/>
    <w:rsid w:val="006F7E5D"/>
    <w:rsid w:val="00701D63"/>
    <w:rsid w:val="00701F4F"/>
    <w:rsid w:val="0070239F"/>
    <w:rsid w:val="007034D6"/>
    <w:rsid w:val="00703FF5"/>
    <w:rsid w:val="007046B9"/>
    <w:rsid w:val="00705356"/>
    <w:rsid w:val="00705C9C"/>
    <w:rsid w:val="00707A64"/>
    <w:rsid w:val="00710651"/>
    <w:rsid w:val="00710895"/>
    <w:rsid w:val="007108D4"/>
    <w:rsid w:val="00710A28"/>
    <w:rsid w:val="007120B2"/>
    <w:rsid w:val="00713060"/>
    <w:rsid w:val="007140D2"/>
    <w:rsid w:val="0071427D"/>
    <w:rsid w:val="007148AC"/>
    <w:rsid w:val="00715C38"/>
    <w:rsid w:val="00716BF5"/>
    <w:rsid w:val="00717E90"/>
    <w:rsid w:val="00717F21"/>
    <w:rsid w:val="007205C8"/>
    <w:rsid w:val="00720958"/>
    <w:rsid w:val="00721167"/>
    <w:rsid w:val="00722F0F"/>
    <w:rsid w:val="00723AE9"/>
    <w:rsid w:val="00723C88"/>
    <w:rsid w:val="007240CE"/>
    <w:rsid w:val="00724580"/>
    <w:rsid w:val="00724C3F"/>
    <w:rsid w:val="007259E0"/>
    <w:rsid w:val="00725C26"/>
    <w:rsid w:val="007263F0"/>
    <w:rsid w:val="00726465"/>
    <w:rsid w:val="00727B25"/>
    <w:rsid w:val="00730D06"/>
    <w:rsid w:val="0073106A"/>
    <w:rsid w:val="007310EE"/>
    <w:rsid w:val="00731651"/>
    <w:rsid w:val="00733433"/>
    <w:rsid w:val="00733D56"/>
    <w:rsid w:val="0073475C"/>
    <w:rsid w:val="00734800"/>
    <w:rsid w:val="007356E5"/>
    <w:rsid w:val="007359B0"/>
    <w:rsid w:val="00736044"/>
    <w:rsid w:val="007368F4"/>
    <w:rsid w:val="007377A3"/>
    <w:rsid w:val="00741A3D"/>
    <w:rsid w:val="00743155"/>
    <w:rsid w:val="00743556"/>
    <w:rsid w:val="00744FA0"/>
    <w:rsid w:val="00745EDF"/>
    <w:rsid w:val="00746113"/>
    <w:rsid w:val="007462DE"/>
    <w:rsid w:val="00747222"/>
    <w:rsid w:val="00747638"/>
    <w:rsid w:val="0074780A"/>
    <w:rsid w:val="00750964"/>
    <w:rsid w:val="00750B08"/>
    <w:rsid w:val="00750D72"/>
    <w:rsid w:val="007510FB"/>
    <w:rsid w:val="0075122E"/>
    <w:rsid w:val="00752353"/>
    <w:rsid w:val="00752922"/>
    <w:rsid w:val="00753CEE"/>
    <w:rsid w:val="007548CC"/>
    <w:rsid w:val="00756946"/>
    <w:rsid w:val="00756DD7"/>
    <w:rsid w:val="00760832"/>
    <w:rsid w:val="007610CC"/>
    <w:rsid w:val="00761BEC"/>
    <w:rsid w:val="00762F35"/>
    <w:rsid w:val="007636BC"/>
    <w:rsid w:val="00763825"/>
    <w:rsid w:val="00763AE5"/>
    <w:rsid w:val="00763FBD"/>
    <w:rsid w:val="0076402C"/>
    <w:rsid w:val="00764E0F"/>
    <w:rsid w:val="00765029"/>
    <w:rsid w:val="0076547D"/>
    <w:rsid w:val="00765BD4"/>
    <w:rsid w:val="00767BCB"/>
    <w:rsid w:val="00770E7A"/>
    <w:rsid w:val="00771289"/>
    <w:rsid w:val="00771EFD"/>
    <w:rsid w:val="0077219A"/>
    <w:rsid w:val="007724B9"/>
    <w:rsid w:val="007769F5"/>
    <w:rsid w:val="007770C4"/>
    <w:rsid w:val="00777534"/>
    <w:rsid w:val="00777C7B"/>
    <w:rsid w:val="00780967"/>
    <w:rsid w:val="00780C29"/>
    <w:rsid w:val="00781086"/>
    <w:rsid w:val="00782124"/>
    <w:rsid w:val="00782646"/>
    <w:rsid w:val="0078264E"/>
    <w:rsid w:val="00782903"/>
    <w:rsid w:val="00782D59"/>
    <w:rsid w:val="007841D1"/>
    <w:rsid w:val="00785EC0"/>
    <w:rsid w:val="00785F8C"/>
    <w:rsid w:val="00785FAD"/>
    <w:rsid w:val="0078629A"/>
    <w:rsid w:val="00786A95"/>
    <w:rsid w:val="00786C1C"/>
    <w:rsid w:val="007876AF"/>
    <w:rsid w:val="00787DC0"/>
    <w:rsid w:val="00790486"/>
    <w:rsid w:val="00791A3C"/>
    <w:rsid w:val="00791E04"/>
    <w:rsid w:val="00792DC5"/>
    <w:rsid w:val="00793E98"/>
    <w:rsid w:val="007944DE"/>
    <w:rsid w:val="00795922"/>
    <w:rsid w:val="007A03D7"/>
    <w:rsid w:val="007A0AD5"/>
    <w:rsid w:val="007A0AF7"/>
    <w:rsid w:val="007A0BE3"/>
    <w:rsid w:val="007A131A"/>
    <w:rsid w:val="007A1351"/>
    <w:rsid w:val="007A1CEF"/>
    <w:rsid w:val="007A678C"/>
    <w:rsid w:val="007A7313"/>
    <w:rsid w:val="007B0BF6"/>
    <w:rsid w:val="007B1601"/>
    <w:rsid w:val="007B24AF"/>
    <w:rsid w:val="007B3A17"/>
    <w:rsid w:val="007B50EA"/>
    <w:rsid w:val="007B51F2"/>
    <w:rsid w:val="007B5B8D"/>
    <w:rsid w:val="007C107F"/>
    <w:rsid w:val="007C1CB2"/>
    <w:rsid w:val="007C230D"/>
    <w:rsid w:val="007C4556"/>
    <w:rsid w:val="007C4AB1"/>
    <w:rsid w:val="007C4F8E"/>
    <w:rsid w:val="007C5102"/>
    <w:rsid w:val="007C52DC"/>
    <w:rsid w:val="007C538E"/>
    <w:rsid w:val="007C55DC"/>
    <w:rsid w:val="007C56B4"/>
    <w:rsid w:val="007C5709"/>
    <w:rsid w:val="007C583E"/>
    <w:rsid w:val="007C6481"/>
    <w:rsid w:val="007D070E"/>
    <w:rsid w:val="007D0F20"/>
    <w:rsid w:val="007D1E1F"/>
    <w:rsid w:val="007D3142"/>
    <w:rsid w:val="007D3189"/>
    <w:rsid w:val="007D375F"/>
    <w:rsid w:val="007D3AE0"/>
    <w:rsid w:val="007D4F10"/>
    <w:rsid w:val="007D564A"/>
    <w:rsid w:val="007D5FD9"/>
    <w:rsid w:val="007D680C"/>
    <w:rsid w:val="007E290B"/>
    <w:rsid w:val="007E3D2D"/>
    <w:rsid w:val="007E56C8"/>
    <w:rsid w:val="007E61B5"/>
    <w:rsid w:val="007E64D1"/>
    <w:rsid w:val="007E6A45"/>
    <w:rsid w:val="007E6EB6"/>
    <w:rsid w:val="007E7A89"/>
    <w:rsid w:val="007F0EEE"/>
    <w:rsid w:val="007F1037"/>
    <w:rsid w:val="007F258F"/>
    <w:rsid w:val="007F27A1"/>
    <w:rsid w:val="007F3596"/>
    <w:rsid w:val="007F3C9A"/>
    <w:rsid w:val="007F48C0"/>
    <w:rsid w:val="007F64BE"/>
    <w:rsid w:val="0080063F"/>
    <w:rsid w:val="00801B21"/>
    <w:rsid w:val="008025D0"/>
    <w:rsid w:val="00802F43"/>
    <w:rsid w:val="0080329C"/>
    <w:rsid w:val="00803634"/>
    <w:rsid w:val="00803CF9"/>
    <w:rsid w:val="00805125"/>
    <w:rsid w:val="00807A3A"/>
    <w:rsid w:val="008114C3"/>
    <w:rsid w:val="008115AC"/>
    <w:rsid w:val="0081201F"/>
    <w:rsid w:val="00812FE9"/>
    <w:rsid w:val="00814800"/>
    <w:rsid w:val="0081706B"/>
    <w:rsid w:val="008173AA"/>
    <w:rsid w:val="00817457"/>
    <w:rsid w:val="00817EE2"/>
    <w:rsid w:val="008200E8"/>
    <w:rsid w:val="0082011B"/>
    <w:rsid w:val="00821F23"/>
    <w:rsid w:val="00822BCF"/>
    <w:rsid w:val="00823DEC"/>
    <w:rsid w:val="00824695"/>
    <w:rsid w:val="00824712"/>
    <w:rsid w:val="0082533B"/>
    <w:rsid w:val="00825BE1"/>
    <w:rsid w:val="00825E99"/>
    <w:rsid w:val="00826C22"/>
    <w:rsid w:val="00830800"/>
    <w:rsid w:val="00830F9A"/>
    <w:rsid w:val="00832656"/>
    <w:rsid w:val="0083499D"/>
    <w:rsid w:val="00835456"/>
    <w:rsid w:val="0083559D"/>
    <w:rsid w:val="00835975"/>
    <w:rsid w:val="008359CF"/>
    <w:rsid w:val="00836C17"/>
    <w:rsid w:val="00837286"/>
    <w:rsid w:val="00837A6D"/>
    <w:rsid w:val="00837DF2"/>
    <w:rsid w:val="00837E9A"/>
    <w:rsid w:val="00840FF0"/>
    <w:rsid w:val="00842054"/>
    <w:rsid w:val="008426E5"/>
    <w:rsid w:val="00842940"/>
    <w:rsid w:val="00844B52"/>
    <w:rsid w:val="00844FE7"/>
    <w:rsid w:val="00845A44"/>
    <w:rsid w:val="00847F8E"/>
    <w:rsid w:val="00847FB0"/>
    <w:rsid w:val="00850B6D"/>
    <w:rsid w:val="00850F4F"/>
    <w:rsid w:val="0085103A"/>
    <w:rsid w:val="0085126A"/>
    <w:rsid w:val="0085147C"/>
    <w:rsid w:val="008525FF"/>
    <w:rsid w:val="00853AF7"/>
    <w:rsid w:val="00854C3B"/>
    <w:rsid w:val="00856142"/>
    <w:rsid w:val="00856924"/>
    <w:rsid w:val="00857869"/>
    <w:rsid w:val="00863F2B"/>
    <w:rsid w:val="008646CE"/>
    <w:rsid w:val="00866ACC"/>
    <w:rsid w:val="008670E2"/>
    <w:rsid w:val="00867521"/>
    <w:rsid w:val="008706DD"/>
    <w:rsid w:val="00870EDC"/>
    <w:rsid w:val="0087136E"/>
    <w:rsid w:val="008719AB"/>
    <w:rsid w:val="00872B2F"/>
    <w:rsid w:val="008740D5"/>
    <w:rsid w:val="008743C3"/>
    <w:rsid w:val="00875C10"/>
    <w:rsid w:val="00876669"/>
    <w:rsid w:val="00876F23"/>
    <w:rsid w:val="008775B0"/>
    <w:rsid w:val="00880D04"/>
    <w:rsid w:val="0088160B"/>
    <w:rsid w:val="00882C42"/>
    <w:rsid w:val="008833F4"/>
    <w:rsid w:val="00887BBD"/>
    <w:rsid w:val="0089124D"/>
    <w:rsid w:val="00892431"/>
    <w:rsid w:val="00892473"/>
    <w:rsid w:val="00893A23"/>
    <w:rsid w:val="00894429"/>
    <w:rsid w:val="008961E5"/>
    <w:rsid w:val="008964D6"/>
    <w:rsid w:val="00896A10"/>
    <w:rsid w:val="00897124"/>
    <w:rsid w:val="008A3171"/>
    <w:rsid w:val="008A42EE"/>
    <w:rsid w:val="008A4B8B"/>
    <w:rsid w:val="008A4E51"/>
    <w:rsid w:val="008A54F7"/>
    <w:rsid w:val="008A612F"/>
    <w:rsid w:val="008A647B"/>
    <w:rsid w:val="008A6628"/>
    <w:rsid w:val="008B00DE"/>
    <w:rsid w:val="008B0FB3"/>
    <w:rsid w:val="008B286F"/>
    <w:rsid w:val="008B2FCC"/>
    <w:rsid w:val="008B45BB"/>
    <w:rsid w:val="008B4E5F"/>
    <w:rsid w:val="008B61A6"/>
    <w:rsid w:val="008B77CB"/>
    <w:rsid w:val="008B7E74"/>
    <w:rsid w:val="008C04EC"/>
    <w:rsid w:val="008C21D4"/>
    <w:rsid w:val="008C21E5"/>
    <w:rsid w:val="008C5C44"/>
    <w:rsid w:val="008C7DCA"/>
    <w:rsid w:val="008D0063"/>
    <w:rsid w:val="008D07ED"/>
    <w:rsid w:val="008D1500"/>
    <w:rsid w:val="008D2332"/>
    <w:rsid w:val="008D2A3F"/>
    <w:rsid w:val="008D333D"/>
    <w:rsid w:val="008D5BE8"/>
    <w:rsid w:val="008D6121"/>
    <w:rsid w:val="008D66EF"/>
    <w:rsid w:val="008D68A2"/>
    <w:rsid w:val="008D6F45"/>
    <w:rsid w:val="008D793F"/>
    <w:rsid w:val="008D796D"/>
    <w:rsid w:val="008D796E"/>
    <w:rsid w:val="008E08D0"/>
    <w:rsid w:val="008E13E4"/>
    <w:rsid w:val="008E15B2"/>
    <w:rsid w:val="008E1F79"/>
    <w:rsid w:val="008E33DB"/>
    <w:rsid w:val="008E475B"/>
    <w:rsid w:val="008E5116"/>
    <w:rsid w:val="008E61E3"/>
    <w:rsid w:val="008E62C6"/>
    <w:rsid w:val="008E7164"/>
    <w:rsid w:val="008E74C1"/>
    <w:rsid w:val="008E75EA"/>
    <w:rsid w:val="008E7C49"/>
    <w:rsid w:val="008F00A1"/>
    <w:rsid w:val="008F1201"/>
    <w:rsid w:val="008F2B24"/>
    <w:rsid w:val="008F3AAC"/>
    <w:rsid w:val="008F4C5E"/>
    <w:rsid w:val="008F6C7B"/>
    <w:rsid w:val="008F6D91"/>
    <w:rsid w:val="008F72C6"/>
    <w:rsid w:val="009018DC"/>
    <w:rsid w:val="00903580"/>
    <w:rsid w:val="00903604"/>
    <w:rsid w:val="0090413D"/>
    <w:rsid w:val="00904193"/>
    <w:rsid w:val="00904955"/>
    <w:rsid w:val="00904AA3"/>
    <w:rsid w:val="00905496"/>
    <w:rsid w:val="00905AB3"/>
    <w:rsid w:val="00906EBC"/>
    <w:rsid w:val="0091069E"/>
    <w:rsid w:val="00910D37"/>
    <w:rsid w:val="00911168"/>
    <w:rsid w:val="009125E9"/>
    <w:rsid w:val="00912939"/>
    <w:rsid w:val="009129F1"/>
    <w:rsid w:val="00913ED8"/>
    <w:rsid w:val="00915975"/>
    <w:rsid w:val="00916619"/>
    <w:rsid w:val="00916EC2"/>
    <w:rsid w:val="00926D24"/>
    <w:rsid w:val="009270A6"/>
    <w:rsid w:val="00927187"/>
    <w:rsid w:val="0093051D"/>
    <w:rsid w:val="00931040"/>
    <w:rsid w:val="00931164"/>
    <w:rsid w:val="009357C6"/>
    <w:rsid w:val="00935F93"/>
    <w:rsid w:val="00936F1D"/>
    <w:rsid w:val="0093759B"/>
    <w:rsid w:val="0094062F"/>
    <w:rsid w:val="00942A5C"/>
    <w:rsid w:val="00942A81"/>
    <w:rsid w:val="00943BD0"/>
    <w:rsid w:val="00943E6F"/>
    <w:rsid w:val="00945A7B"/>
    <w:rsid w:val="0094771F"/>
    <w:rsid w:val="009500FF"/>
    <w:rsid w:val="0095046B"/>
    <w:rsid w:val="0095052F"/>
    <w:rsid w:val="009508EB"/>
    <w:rsid w:val="00952A66"/>
    <w:rsid w:val="009530B6"/>
    <w:rsid w:val="0095464C"/>
    <w:rsid w:val="00954E1D"/>
    <w:rsid w:val="00955E10"/>
    <w:rsid w:val="00956714"/>
    <w:rsid w:val="00956CDB"/>
    <w:rsid w:val="00957103"/>
    <w:rsid w:val="00961236"/>
    <w:rsid w:val="00962CBE"/>
    <w:rsid w:val="00962DF6"/>
    <w:rsid w:val="009633CC"/>
    <w:rsid w:val="0096538E"/>
    <w:rsid w:val="00965533"/>
    <w:rsid w:val="009669AC"/>
    <w:rsid w:val="00970DD9"/>
    <w:rsid w:val="0097251F"/>
    <w:rsid w:val="009727C9"/>
    <w:rsid w:val="00972BB7"/>
    <w:rsid w:val="009771EA"/>
    <w:rsid w:val="0098035D"/>
    <w:rsid w:val="00980C04"/>
    <w:rsid w:val="00981B0C"/>
    <w:rsid w:val="00982CC2"/>
    <w:rsid w:val="00983889"/>
    <w:rsid w:val="00984045"/>
    <w:rsid w:val="00985935"/>
    <w:rsid w:val="00990ACD"/>
    <w:rsid w:val="00992156"/>
    <w:rsid w:val="00993095"/>
    <w:rsid w:val="00993767"/>
    <w:rsid w:val="00994194"/>
    <w:rsid w:val="0099513B"/>
    <w:rsid w:val="00996805"/>
    <w:rsid w:val="00996CE8"/>
    <w:rsid w:val="00996E25"/>
    <w:rsid w:val="00996FFD"/>
    <w:rsid w:val="0099746F"/>
    <w:rsid w:val="009A0652"/>
    <w:rsid w:val="009A115D"/>
    <w:rsid w:val="009A36CF"/>
    <w:rsid w:val="009A377B"/>
    <w:rsid w:val="009A5A26"/>
    <w:rsid w:val="009A5A2A"/>
    <w:rsid w:val="009A6E8F"/>
    <w:rsid w:val="009A710F"/>
    <w:rsid w:val="009B2AA9"/>
    <w:rsid w:val="009B3117"/>
    <w:rsid w:val="009B36CC"/>
    <w:rsid w:val="009B56D5"/>
    <w:rsid w:val="009B67B5"/>
    <w:rsid w:val="009B715D"/>
    <w:rsid w:val="009B7573"/>
    <w:rsid w:val="009C064F"/>
    <w:rsid w:val="009C0758"/>
    <w:rsid w:val="009C1B47"/>
    <w:rsid w:val="009C35BD"/>
    <w:rsid w:val="009C3D98"/>
    <w:rsid w:val="009C4C16"/>
    <w:rsid w:val="009C669A"/>
    <w:rsid w:val="009C69C5"/>
    <w:rsid w:val="009D2017"/>
    <w:rsid w:val="009D257D"/>
    <w:rsid w:val="009D3102"/>
    <w:rsid w:val="009D4126"/>
    <w:rsid w:val="009D64FB"/>
    <w:rsid w:val="009D7212"/>
    <w:rsid w:val="009D768F"/>
    <w:rsid w:val="009E075D"/>
    <w:rsid w:val="009E0B7D"/>
    <w:rsid w:val="009E1F77"/>
    <w:rsid w:val="009E3AAB"/>
    <w:rsid w:val="009E4365"/>
    <w:rsid w:val="009E53F0"/>
    <w:rsid w:val="009E5F19"/>
    <w:rsid w:val="009E665A"/>
    <w:rsid w:val="009E7251"/>
    <w:rsid w:val="009E7A16"/>
    <w:rsid w:val="009F1715"/>
    <w:rsid w:val="009F4B88"/>
    <w:rsid w:val="009F52F5"/>
    <w:rsid w:val="009F64A4"/>
    <w:rsid w:val="009F7935"/>
    <w:rsid w:val="00A00095"/>
    <w:rsid w:val="00A00AB0"/>
    <w:rsid w:val="00A029D8"/>
    <w:rsid w:val="00A02DBB"/>
    <w:rsid w:val="00A02F95"/>
    <w:rsid w:val="00A045D1"/>
    <w:rsid w:val="00A05A26"/>
    <w:rsid w:val="00A05AD6"/>
    <w:rsid w:val="00A060C0"/>
    <w:rsid w:val="00A07E19"/>
    <w:rsid w:val="00A12632"/>
    <w:rsid w:val="00A139C9"/>
    <w:rsid w:val="00A1456F"/>
    <w:rsid w:val="00A1459B"/>
    <w:rsid w:val="00A1612E"/>
    <w:rsid w:val="00A204B9"/>
    <w:rsid w:val="00A20648"/>
    <w:rsid w:val="00A20BB2"/>
    <w:rsid w:val="00A235A8"/>
    <w:rsid w:val="00A24643"/>
    <w:rsid w:val="00A254D1"/>
    <w:rsid w:val="00A25ABC"/>
    <w:rsid w:val="00A26A6E"/>
    <w:rsid w:val="00A26BD4"/>
    <w:rsid w:val="00A271EE"/>
    <w:rsid w:val="00A27395"/>
    <w:rsid w:val="00A32093"/>
    <w:rsid w:val="00A32E32"/>
    <w:rsid w:val="00A32ED8"/>
    <w:rsid w:val="00A334BB"/>
    <w:rsid w:val="00A33DFF"/>
    <w:rsid w:val="00A33FE7"/>
    <w:rsid w:val="00A3685C"/>
    <w:rsid w:val="00A377B1"/>
    <w:rsid w:val="00A40469"/>
    <w:rsid w:val="00A40E1D"/>
    <w:rsid w:val="00A41026"/>
    <w:rsid w:val="00A42546"/>
    <w:rsid w:val="00A440C0"/>
    <w:rsid w:val="00A440C7"/>
    <w:rsid w:val="00A44621"/>
    <w:rsid w:val="00A45343"/>
    <w:rsid w:val="00A469E5"/>
    <w:rsid w:val="00A517B5"/>
    <w:rsid w:val="00A527DC"/>
    <w:rsid w:val="00A52967"/>
    <w:rsid w:val="00A52AFC"/>
    <w:rsid w:val="00A555BB"/>
    <w:rsid w:val="00A556D4"/>
    <w:rsid w:val="00A559C4"/>
    <w:rsid w:val="00A55A43"/>
    <w:rsid w:val="00A57022"/>
    <w:rsid w:val="00A57AEB"/>
    <w:rsid w:val="00A60B4C"/>
    <w:rsid w:val="00A61079"/>
    <w:rsid w:val="00A6240D"/>
    <w:rsid w:val="00A62741"/>
    <w:rsid w:val="00A62D25"/>
    <w:rsid w:val="00A64CBF"/>
    <w:rsid w:val="00A6548D"/>
    <w:rsid w:val="00A66D89"/>
    <w:rsid w:val="00A67322"/>
    <w:rsid w:val="00A70A25"/>
    <w:rsid w:val="00A71903"/>
    <w:rsid w:val="00A751A4"/>
    <w:rsid w:val="00A75FB5"/>
    <w:rsid w:val="00A80216"/>
    <w:rsid w:val="00A80368"/>
    <w:rsid w:val="00A80DCE"/>
    <w:rsid w:val="00A80E9E"/>
    <w:rsid w:val="00A8221F"/>
    <w:rsid w:val="00A8373B"/>
    <w:rsid w:val="00A83DBB"/>
    <w:rsid w:val="00A86BE9"/>
    <w:rsid w:val="00A87635"/>
    <w:rsid w:val="00A92DE6"/>
    <w:rsid w:val="00A9324B"/>
    <w:rsid w:val="00A94A4E"/>
    <w:rsid w:val="00A95E9E"/>
    <w:rsid w:val="00A96006"/>
    <w:rsid w:val="00A9626A"/>
    <w:rsid w:val="00A96894"/>
    <w:rsid w:val="00A975C3"/>
    <w:rsid w:val="00A97633"/>
    <w:rsid w:val="00A97D80"/>
    <w:rsid w:val="00A97E9B"/>
    <w:rsid w:val="00AA239C"/>
    <w:rsid w:val="00AA36D0"/>
    <w:rsid w:val="00AA3B44"/>
    <w:rsid w:val="00AA4654"/>
    <w:rsid w:val="00AA6152"/>
    <w:rsid w:val="00AA70A9"/>
    <w:rsid w:val="00AB033C"/>
    <w:rsid w:val="00AB09A0"/>
    <w:rsid w:val="00AB1771"/>
    <w:rsid w:val="00AB25BC"/>
    <w:rsid w:val="00AB35FE"/>
    <w:rsid w:val="00AB3FA4"/>
    <w:rsid w:val="00AB58E2"/>
    <w:rsid w:val="00AB6FB0"/>
    <w:rsid w:val="00AB7469"/>
    <w:rsid w:val="00AB7E98"/>
    <w:rsid w:val="00AC0154"/>
    <w:rsid w:val="00AC13CA"/>
    <w:rsid w:val="00AC152F"/>
    <w:rsid w:val="00AC4674"/>
    <w:rsid w:val="00AC5BCB"/>
    <w:rsid w:val="00AC6EE7"/>
    <w:rsid w:val="00AC6F5C"/>
    <w:rsid w:val="00AC7E11"/>
    <w:rsid w:val="00AD032B"/>
    <w:rsid w:val="00AD1D8B"/>
    <w:rsid w:val="00AD3ED1"/>
    <w:rsid w:val="00AD47E4"/>
    <w:rsid w:val="00AD4A7C"/>
    <w:rsid w:val="00AD7242"/>
    <w:rsid w:val="00AE0236"/>
    <w:rsid w:val="00AE1156"/>
    <w:rsid w:val="00AE1C78"/>
    <w:rsid w:val="00AE1FDA"/>
    <w:rsid w:val="00AE2BCA"/>
    <w:rsid w:val="00AE37C0"/>
    <w:rsid w:val="00AE3951"/>
    <w:rsid w:val="00AE4985"/>
    <w:rsid w:val="00AE4DC2"/>
    <w:rsid w:val="00AE55EF"/>
    <w:rsid w:val="00AE58AC"/>
    <w:rsid w:val="00AF0480"/>
    <w:rsid w:val="00AF0AE8"/>
    <w:rsid w:val="00AF13F9"/>
    <w:rsid w:val="00AF1779"/>
    <w:rsid w:val="00AF1A63"/>
    <w:rsid w:val="00AF1C86"/>
    <w:rsid w:val="00AF28F2"/>
    <w:rsid w:val="00AF4728"/>
    <w:rsid w:val="00AF51F4"/>
    <w:rsid w:val="00AF5C59"/>
    <w:rsid w:val="00AF6434"/>
    <w:rsid w:val="00AF6CE6"/>
    <w:rsid w:val="00AF6EF0"/>
    <w:rsid w:val="00AF783E"/>
    <w:rsid w:val="00AF7C0A"/>
    <w:rsid w:val="00B005CD"/>
    <w:rsid w:val="00B013A5"/>
    <w:rsid w:val="00B017BC"/>
    <w:rsid w:val="00B01BC3"/>
    <w:rsid w:val="00B01F65"/>
    <w:rsid w:val="00B02462"/>
    <w:rsid w:val="00B0272D"/>
    <w:rsid w:val="00B04D3F"/>
    <w:rsid w:val="00B061D9"/>
    <w:rsid w:val="00B064D2"/>
    <w:rsid w:val="00B11EE7"/>
    <w:rsid w:val="00B128F7"/>
    <w:rsid w:val="00B14C1D"/>
    <w:rsid w:val="00B16F78"/>
    <w:rsid w:val="00B171DB"/>
    <w:rsid w:val="00B17FFE"/>
    <w:rsid w:val="00B203E8"/>
    <w:rsid w:val="00B22881"/>
    <w:rsid w:val="00B229AF"/>
    <w:rsid w:val="00B22E4B"/>
    <w:rsid w:val="00B23B5E"/>
    <w:rsid w:val="00B2518F"/>
    <w:rsid w:val="00B2546D"/>
    <w:rsid w:val="00B27660"/>
    <w:rsid w:val="00B27A3B"/>
    <w:rsid w:val="00B311A3"/>
    <w:rsid w:val="00B320C0"/>
    <w:rsid w:val="00B32754"/>
    <w:rsid w:val="00B3342A"/>
    <w:rsid w:val="00B33CBE"/>
    <w:rsid w:val="00B34274"/>
    <w:rsid w:val="00B36106"/>
    <w:rsid w:val="00B365D5"/>
    <w:rsid w:val="00B37FD5"/>
    <w:rsid w:val="00B416A2"/>
    <w:rsid w:val="00B430A1"/>
    <w:rsid w:val="00B44263"/>
    <w:rsid w:val="00B4463C"/>
    <w:rsid w:val="00B4485E"/>
    <w:rsid w:val="00B450D3"/>
    <w:rsid w:val="00B452E5"/>
    <w:rsid w:val="00B45B1A"/>
    <w:rsid w:val="00B45B36"/>
    <w:rsid w:val="00B45DCA"/>
    <w:rsid w:val="00B530CC"/>
    <w:rsid w:val="00B5378D"/>
    <w:rsid w:val="00B53A8C"/>
    <w:rsid w:val="00B53BAC"/>
    <w:rsid w:val="00B544D5"/>
    <w:rsid w:val="00B54C67"/>
    <w:rsid w:val="00B54F13"/>
    <w:rsid w:val="00B55EF0"/>
    <w:rsid w:val="00B57CAA"/>
    <w:rsid w:val="00B62388"/>
    <w:rsid w:val="00B632F2"/>
    <w:rsid w:val="00B636F7"/>
    <w:rsid w:val="00B63CFB"/>
    <w:rsid w:val="00B643B5"/>
    <w:rsid w:val="00B66501"/>
    <w:rsid w:val="00B669E4"/>
    <w:rsid w:val="00B66FDF"/>
    <w:rsid w:val="00B67793"/>
    <w:rsid w:val="00B700B8"/>
    <w:rsid w:val="00B7259E"/>
    <w:rsid w:val="00B72C86"/>
    <w:rsid w:val="00B73AED"/>
    <w:rsid w:val="00B73C9C"/>
    <w:rsid w:val="00B76A61"/>
    <w:rsid w:val="00B77943"/>
    <w:rsid w:val="00B77B59"/>
    <w:rsid w:val="00B8162D"/>
    <w:rsid w:val="00B81E97"/>
    <w:rsid w:val="00B81F77"/>
    <w:rsid w:val="00B83520"/>
    <w:rsid w:val="00B84784"/>
    <w:rsid w:val="00B8591C"/>
    <w:rsid w:val="00B85C41"/>
    <w:rsid w:val="00B85D20"/>
    <w:rsid w:val="00B86340"/>
    <w:rsid w:val="00B87039"/>
    <w:rsid w:val="00B87F61"/>
    <w:rsid w:val="00B908AA"/>
    <w:rsid w:val="00B90D4A"/>
    <w:rsid w:val="00B9187C"/>
    <w:rsid w:val="00B91998"/>
    <w:rsid w:val="00B91BB2"/>
    <w:rsid w:val="00B95A70"/>
    <w:rsid w:val="00B96630"/>
    <w:rsid w:val="00BA04C3"/>
    <w:rsid w:val="00BA09FA"/>
    <w:rsid w:val="00BA2A41"/>
    <w:rsid w:val="00BA2EC8"/>
    <w:rsid w:val="00BA3CE3"/>
    <w:rsid w:val="00BA53C3"/>
    <w:rsid w:val="00BA54DA"/>
    <w:rsid w:val="00BA6740"/>
    <w:rsid w:val="00BA749B"/>
    <w:rsid w:val="00BA783C"/>
    <w:rsid w:val="00BA7E70"/>
    <w:rsid w:val="00BB004D"/>
    <w:rsid w:val="00BB082A"/>
    <w:rsid w:val="00BB11AD"/>
    <w:rsid w:val="00BB1864"/>
    <w:rsid w:val="00BB2254"/>
    <w:rsid w:val="00BB2BBD"/>
    <w:rsid w:val="00BB3EF6"/>
    <w:rsid w:val="00BB47CF"/>
    <w:rsid w:val="00BB4A0A"/>
    <w:rsid w:val="00BB5455"/>
    <w:rsid w:val="00BB6D62"/>
    <w:rsid w:val="00BB7303"/>
    <w:rsid w:val="00BB7C43"/>
    <w:rsid w:val="00BC0924"/>
    <w:rsid w:val="00BC0B8C"/>
    <w:rsid w:val="00BC10EA"/>
    <w:rsid w:val="00BC1473"/>
    <w:rsid w:val="00BC17FD"/>
    <w:rsid w:val="00BC1EF5"/>
    <w:rsid w:val="00BC21AD"/>
    <w:rsid w:val="00BC26F8"/>
    <w:rsid w:val="00BC74DD"/>
    <w:rsid w:val="00BC7FF9"/>
    <w:rsid w:val="00BD4ED2"/>
    <w:rsid w:val="00BD500C"/>
    <w:rsid w:val="00BD58E1"/>
    <w:rsid w:val="00BD5E22"/>
    <w:rsid w:val="00BD60DE"/>
    <w:rsid w:val="00BE0583"/>
    <w:rsid w:val="00BE19ED"/>
    <w:rsid w:val="00BE1BEF"/>
    <w:rsid w:val="00BE2BCC"/>
    <w:rsid w:val="00BE521C"/>
    <w:rsid w:val="00BE67ED"/>
    <w:rsid w:val="00BF16C7"/>
    <w:rsid w:val="00BF16F6"/>
    <w:rsid w:val="00BF3768"/>
    <w:rsid w:val="00BF37E9"/>
    <w:rsid w:val="00BF3F73"/>
    <w:rsid w:val="00BF5108"/>
    <w:rsid w:val="00BF54A1"/>
    <w:rsid w:val="00BF66F6"/>
    <w:rsid w:val="00BF7122"/>
    <w:rsid w:val="00BF7609"/>
    <w:rsid w:val="00C00424"/>
    <w:rsid w:val="00C007B6"/>
    <w:rsid w:val="00C00977"/>
    <w:rsid w:val="00C00FB6"/>
    <w:rsid w:val="00C03D4F"/>
    <w:rsid w:val="00C0424E"/>
    <w:rsid w:val="00C04586"/>
    <w:rsid w:val="00C04E2F"/>
    <w:rsid w:val="00C050AF"/>
    <w:rsid w:val="00C05650"/>
    <w:rsid w:val="00C05D21"/>
    <w:rsid w:val="00C05EB0"/>
    <w:rsid w:val="00C0756D"/>
    <w:rsid w:val="00C1024F"/>
    <w:rsid w:val="00C10584"/>
    <w:rsid w:val="00C112B4"/>
    <w:rsid w:val="00C1161D"/>
    <w:rsid w:val="00C11844"/>
    <w:rsid w:val="00C14EA2"/>
    <w:rsid w:val="00C16113"/>
    <w:rsid w:val="00C176B1"/>
    <w:rsid w:val="00C203B2"/>
    <w:rsid w:val="00C20960"/>
    <w:rsid w:val="00C20968"/>
    <w:rsid w:val="00C240BB"/>
    <w:rsid w:val="00C24D16"/>
    <w:rsid w:val="00C24D67"/>
    <w:rsid w:val="00C25BA6"/>
    <w:rsid w:val="00C260CD"/>
    <w:rsid w:val="00C2671E"/>
    <w:rsid w:val="00C26A4B"/>
    <w:rsid w:val="00C26B1F"/>
    <w:rsid w:val="00C26DD2"/>
    <w:rsid w:val="00C27559"/>
    <w:rsid w:val="00C275AF"/>
    <w:rsid w:val="00C316CF"/>
    <w:rsid w:val="00C31D71"/>
    <w:rsid w:val="00C324C4"/>
    <w:rsid w:val="00C32E0C"/>
    <w:rsid w:val="00C33078"/>
    <w:rsid w:val="00C3491E"/>
    <w:rsid w:val="00C34BCA"/>
    <w:rsid w:val="00C352EB"/>
    <w:rsid w:val="00C3719C"/>
    <w:rsid w:val="00C3796D"/>
    <w:rsid w:val="00C37B88"/>
    <w:rsid w:val="00C40659"/>
    <w:rsid w:val="00C40F70"/>
    <w:rsid w:val="00C42BA1"/>
    <w:rsid w:val="00C44786"/>
    <w:rsid w:val="00C47399"/>
    <w:rsid w:val="00C47CBC"/>
    <w:rsid w:val="00C503C7"/>
    <w:rsid w:val="00C50E67"/>
    <w:rsid w:val="00C51BC1"/>
    <w:rsid w:val="00C51BF8"/>
    <w:rsid w:val="00C524EA"/>
    <w:rsid w:val="00C52DCF"/>
    <w:rsid w:val="00C55652"/>
    <w:rsid w:val="00C56E83"/>
    <w:rsid w:val="00C6134E"/>
    <w:rsid w:val="00C629C8"/>
    <w:rsid w:val="00C6328D"/>
    <w:rsid w:val="00C633EE"/>
    <w:rsid w:val="00C64E3B"/>
    <w:rsid w:val="00C6618A"/>
    <w:rsid w:val="00C6737D"/>
    <w:rsid w:val="00C72B78"/>
    <w:rsid w:val="00C7656F"/>
    <w:rsid w:val="00C77536"/>
    <w:rsid w:val="00C77811"/>
    <w:rsid w:val="00C81093"/>
    <w:rsid w:val="00C810A9"/>
    <w:rsid w:val="00C817E5"/>
    <w:rsid w:val="00C822C6"/>
    <w:rsid w:val="00C830E8"/>
    <w:rsid w:val="00C8358D"/>
    <w:rsid w:val="00C84902"/>
    <w:rsid w:val="00C85F4D"/>
    <w:rsid w:val="00C87224"/>
    <w:rsid w:val="00C872E8"/>
    <w:rsid w:val="00C90368"/>
    <w:rsid w:val="00C916AC"/>
    <w:rsid w:val="00C91BE9"/>
    <w:rsid w:val="00C91D66"/>
    <w:rsid w:val="00C92197"/>
    <w:rsid w:val="00C9355D"/>
    <w:rsid w:val="00C946FB"/>
    <w:rsid w:val="00C9782A"/>
    <w:rsid w:val="00CA0784"/>
    <w:rsid w:val="00CA137B"/>
    <w:rsid w:val="00CA1860"/>
    <w:rsid w:val="00CA1D25"/>
    <w:rsid w:val="00CA2A46"/>
    <w:rsid w:val="00CA3622"/>
    <w:rsid w:val="00CA43A6"/>
    <w:rsid w:val="00CA6C16"/>
    <w:rsid w:val="00CA6FA5"/>
    <w:rsid w:val="00CA7D9B"/>
    <w:rsid w:val="00CB23D1"/>
    <w:rsid w:val="00CB39D4"/>
    <w:rsid w:val="00CB3CDD"/>
    <w:rsid w:val="00CB5C79"/>
    <w:rsid w:val="00CB68B8"/>
    <w:rsid w:val="00CB7C9C"/>
    <w:rsid w:val="00CC178B"/>
    <w:rsid w:val="00CC39CA"/>
    <w:rsid w:val="00CC4ADD"/>
    <w:rsid w:val="00CC4EB5"/>
    <w:rsid w:val="00CC50A2"/>
    <w:rsid w:val="00CC5668"/>
    <w:rsid w:val="00CC6054"/>
    <w:rsid w:val="00CC61E5"/>
    <w:rsid w:val="00CC725D"/>
    <w:rsid w:val="00CC7F30"/>
    <w:rsid w:val="00CD4122"/>
    <w:rsid w:val="00CD4251"/>
    <w:rsid w:val="00CD42E6"/>
    <w:rsid w:val="00CD55D4"/>
    <w:rsid w:val="00CD71AB"/>
    <w:rsid w:val="00CE040C"/>
    <w:rsid w:val="00CE096B"/>
    <w:rsid w:val="00CE1074"/>
    <w:rsid w:val="00CE2954"/>
    <w:rsid w:val="00CE555B"/>
    <w:rsid w:val="00CE560D"/>
    <w:rsid w:val="00CE5CFE"/>
    <w:rsid w:val="00CE6798"/>
    <w:rsid w:val="00CE716D"/>
    <w:rsid w:val="00CE740E"/>
    <w:rsid w:val="00CF06D5"/>
    <w:rsid w:val="00CF1049"/>
    <w:rsid w:val="00CF1B3F"/>
    <w:rsid w:val="00CF20F3"/>
    <w:rsid w:val="00CF3AEA"/>
    <w:rsid w:val="00CF4ECF"/>
    <w:rsid w:val="00CF70EC"/>
    <w:rsid w:val="00CF7653"/>
    <w:rsid w:val="00CF7B3A"/>
    <w:rsid w:val="00CF7D23"/>
    <w:rsid w:val="00D0166E"/>
    <w:rsid w:val="00D02B8E"/>
    <w:rsid w:val="00D0486D"/>
    <w:rsid w:val="00D05F1F"/>
    <w:rsid w:val="00D10A60"/>
    <w:rsid w:val="00D10B9D"/>
    <w:rsid w:val="00D11479"/>
    <w:rsid w:val="00D11E55"/>
    <w:rsid w:val="00D140EC"/>
    <w:rsid w:val="00D1474C"/>
    <w:rsid w:val="00D15264"/>
    <w:rsid w:val="00D1617D"/>
    <w:rsid w:val="00D200B4"/>
    <w:rsid w:val="00D20CC1"/>
    <w:rsid w:val="00D218C9"/>
    <w:rsid w:val="00D228EF"/>
    <w:rsid w:val="00D23197"/>
    <w:rsid w:val="00D2339B"/>
    <w:rsid w:val="00D23B64"/>
    <w:rsid w:val="00D245A0"/>
    <w:rsid w:val="00D31B2B"/>
    <w:rsid w:val="00D33281"/>
    <w:rsid w:val="00D34452"/>
    <w:rsid w:val="00D349A9"/>
    <w:rsid w:val="00D35EE6"/>
    <w:rsid w:val="00D35EEA"/>
    <w:rsid w:val="00D36DC3"/>
    <w:rsid w:val="00D36EBC"/>
    <w:rsid w:val="00D36F5A"/>
    <w:rsid w:val="00D3785E"/>
    <w:rsid w:val="00D37D08"/>
    <w:rsid w:val="00D41E36"/>
    <w:rsid w:val="00D41E3A"/>
    <w:rsid w:val="00D42945"/>
    <w:rsid w:val="00D44DC7"/>
    <w:rsid w:val="00D44F3A"/>
    <w:rsid w:val="00D457A4"/>
    <w:rsid w:val="00D4663B"/>
    <w:rsid w:val="00D46CA5"/>
    <w:rsid w:val="00D46F6D"/>
    <w:rsid w:val="00D47301"/>
    <w:rsid w:val="00D479D5"/>
    <w:rsid w:val="00D5010C"/>
    <w:rsid w:val="00D504F5"/>
    <w:rsid w:val="00D508BA"/>
    <w:rsid w:val="00D51F5D"/>
    <w:rsid w:val="00D549EF"/>
    <w:rsid w:val="00D5528D"/>
    <w:rsid w:val="00D55B71"/>
    <w:rsid w:val="00D56687"/>
    <w:rsid w:val="00D572D2"/>
    <w:rsid w:val="00D61BCF"/>
    <w:rsid w:val="00D6370B"/>
    <w:rsid w:val="00D63D6C"/>
    <w:rsid w:val="00D63DAB"/>
    <w:rsid w:val="00D65D3A"/>
    <w:rsid w:val="00D660CE"/>
    <w:rsid w:val="00D6640A"/>
    <w:rsid w:val="00D70C03"/>
    <w:rsid w:val="00D750D1"/>
    <w:rsid w:val="00D766F7"/>
    <w:rsid w:val="00D801D3"/>
    <w:rsid w:val="00D806D3"/>
    <w:rsid w:val="00D80DE3"/>
    <w:rsid w:val="00D8105F"/>
    <w:rsid w:val="00D83401"/>
    <w:rsid w:val="00D83C92"/>
    <w:rsid w:val="00D83F2B"/>
    <w:rsid w:val="00D8599B"/>
    <w:rsid w:val="00D87A30"/>
    <w:rsid w:val="00D87BE9"/>
    <w:rsid w:val="00D901FC"/>
    <w:rsid w:val="00D90B06"/>
    <w:rsid w:val="00D910C6"/>
    <w:rsid w:val="00D92E53"/>
    <w:rsid w:val="00D945F9"/>
    <w:rsid w:val="00D95082"/>
    <w:rsid w:val="00D95C10"/>
    <w:rsid w:val="00D964A3"/>
    <w:rsid w:val="00D978DF"/>
    <w:rsid w:val="00D97F21"/>
    <w:rsid w:val="00DA03DE"/>
    <w:rsid w:val="00DA05C9"/>
    <w:rsid w:val="00DA26AA"/>
    <w:rsid w:val="00DA3B81"/>
    <w:rsid w:val="00DA3FA4"/>
    <w:rsid w:val="00DA488B"/>
    <w:rsid w:val="00DA498E"/>
    <w:rsid w:val="00DA574D"/>
    <w:rsid w:val="00DA5E5E"/>
    <w:rsid w:val="00DA611F"/>
    <w:rsid w:val="00DA7144"/>
    <w:rsid w:val="00DA7474"/>
    <w:rsid w:val="00DA7D35"/>
    <w:rsid w:val="00DA7D4A"/>
    <w:rsid w:val="00DB0638"/>
    <w:rsid w:val="00DB08B4"/>
    <w:rsid w:val="00DB09CA"/>
    <w:rsid w:val="00DB0A3A"/>
    <w:rsid w:val="00DB1E12"/>
    <w:rsid w:val="00DB2625"/>
    <w:rsid w:val="00DB3E19"/>
    <w:rsid w:val="00DB605C"/>
    <w:rsid w:val="00DB7363"/>
    <w:rsid w:val="00DC06C4"/>
    <w:rsid w:val="00DC1482"/>
    <w:rsid w:val="00DC1965"/>
    <w:rsid w:val="00DC1C2A"/>
    <w:rsid w:val="00DC1E35"/>
    <w:rsid w:val="00DC2A08"/>
    <w:rsid w:val="00DC2A7E"/>
    <w:rsid w:val="00DC2FF8"/>
    <w:rsid w:val="00DC391A"/>
    <w:rsid w:val="00DC44EC"/>
    <w:rsid w:val="00DC570E"/>
    <w:rsid w:val="00DC65B6"/>
    <w:rsid w:val="00DC74DA"/>
    <w:rsid w:val="00DD075C"/>
    <w:rsid w:val="00DD0A08"/>
    <w:rsid w:val="00DD0F54"/>
    <w:rsid w:val="00DD2826"/>
    <w:rsid w:val="00DD2B71"/>
    <w:rsid w:val="00DD3CC4"/>
    <w:rsid w:val="00DD3D51"/>
    <w:rsid w:val="00DD3FCA"/>
    <w:rsid w:val="00DD7440"/>
    <w:rsid w:val="00DD7CEF"/>
    <w:rsid w:val="00DE0C57"/>
    <w:rsid w:val="00DE33CB"/>
    <w:rsid w:val="00DE3948"/>
    <w:rsid w:val="00DE3E89"/>
    <w:rsid w:val="00DE3F08"/>
    <w:rsid w:val="00DE4A5C"/>
    <w:rsid w:val="00DE4BDB"/>
    <w:rsid w:val="00DE636D"/>
    <w:rsid w:val="00DE64B5"/>
    <w:rsid w:val="00DE6849"/>
    <w:rsid w:val="00DE7964"/>
    <w:rsid w:val="00DF0B39"/>
    <w:rsid w:val="00DF0BA0"/>
    <w:rsid w:val="00DF0BE3"/>
    <w:rsid w:val="00DF1B92"/>
    <w:rsid w:val="00DF20C4"/>
    <w:rsid w:val="00DF28D6"/>
    <w:rsid w:val="00DF473C"/>
    <w:rsid w:val="00DF609B"/>
    <w:rsid w:val="00DF69D1"/>
    <w:rsid w:val="00DF7A1F"/>
    <w:rsid w:val="00DF7C1F"/>
    <w:rsid w:val="00E00DEA"/>
    <w:rsid w:val="00E01842"/>
    <w:rsid w:val="00E01DAB"/>
    <w:rsid w:val="00E026D7"/>
    <w:rsid w:val="00E02DB6"/>
    <w:rsid w:val="00E02F14"/>
    <w:rsid w:val="00E03DEC"/>
    <w:rsid w:val="00E05290"/>
    <w:rsid w:val="00E05690"/>
    <w:rsid w:val="00E0582B"/>
    <w:rsid w:val="00E06A14"/>
    <w:rsid w:val="00E11A8F"/>
    <w:rsid w:val="00E12386"/>
    <w:rsid w:val="00E1315B"/>
    <w:rsid w:val="00E13D9A"/>
    <w:rsid w:val="00E157E7"/>
    <w:rsid w:val="00E15CC4"/>
    <w:rsid w:val="00E161BB"/>
    <w:rsid w:val="00E1621C"/>
    <w:rsid w:val="00E16479"/>
    <w:rsid w:val="00E16A92"/>
    <w:rsid w:val="00E16C73"/>
    <w:rsid w:val="00E20E64"/>
    <w:rsid w:val="00E21552"/>
    <w:rsid w:val="00E21609"/>
    <w:rsid w:val="00E21CE3"/>
    <w:rsid w:val="00E24099"/>
    <w:rsid w:val="00E26A00"/>
    <w:rsid w:val="00E324DD"/>
    <w:rsid w:val="00E32C3A"/>
    <w:rsid w:val="00E351DD"/>
    <w:rsid w:val="00E359CF"/>
    <w:rsid w:val="00E36B71"/>
    <w:rsid w:val="00E40AB5"/>
    <w:rsid w:val="00E41F7E"/>
    <w:rsid w:val="00E4216E"/>
    <w:rsid w:val="00E43661"/>
    <w:rsid w:val="00E43BE3"/>
    <w:rsid w:val="00E474EA"/>
    <w:rsid w:val="00E500CC"/>
    <w:rsid w:val="00E506F6"/>
    <w:rsid w:val="00E5072A"/>
    <w:rsid w:val="00E51724"/>
    <w:rsid w:val="00E5196A"/>
    <w:rsid w:val="00E53E5E"/>
    <w:rsid w:val="00E54771"/>
    <w:rsid w:val="00E54F84"/>
    <w:rsid w:val="00E55064"/>
    <w:rsid w:val="00E55DB8"/>
    <w:rsid w:val="00E56BF0"/>
    <w:rsid w:val="00E571A0"/>
    <w:rsid w:val="00E578FF"/>
    <w:rsid w:val="00E60124"/>
    <w:rsid w:val="00E6223D"/>
    <w:rsid w:val="00E628BB"/>
    <w:rsid w:val="00E62C65"/>
    <w:rsid w:val="00E6346D"/>
    <w:rsid w:val="00E63C06"/>
    <w:rsid w:val="00E64E08"/>
    <w:rsid w:val="00E65025"/>
    <w:rsid w:val="00E65D90"/>
    <w:rsid w:val="00E66A2A"/>
    <w:rsid w:val="00E67102"/>
    <w:rsid w:val="00E67493"/>
    <w:rsid w:val="00E735B8"/>
    <w:rsid w:val="00E73872"/>
    <w:rsid w:val="00E73A96"/>
    <w:rsid w:val="00E73C3A"/>
    <w:rsid w:val="00E77781"/>
    <w:rsid w:val="00E84233"/>
    <w:rsid w:val="00E8509E"/>
    <w:rsid w:val="00E85A07"/>
    <w:rsid w:val="00E85D64"/>
    <w:rsid w:val="00E864A3"/>
    <w:rsid w:val="00E870AD"/>
    <w:rsid w:val="00E876AA"/>
    <w:rsid w:val="00E877CE"/>
    <w:rsid w:val="00E87FCB"/>
    <w:rsid w:val="00E90B74"/>
    <w:rsid w:val="00E910A7"/>
    <w:rsid w:val="00E927E6"/>
    <w:rsid w:val="00E92E1C"/>
    <w:rsid w:val="00E93B4B"/>
    <w:rsid w:val="00E940FE"/>
    <w:rsid w:val="00E94B22"/>
    <w:rsid w:val="00EA0225"/>
    <w:rsid w:val="00EA032B"/>
    <w:rsid w:val="00EA0E38"/>
    <w:rsid w:val="00EA1E9D"/>
    <w:rsid w:val="00EA2330"/>
    <w:rsid w:val="00EA2899"/>
    <w:rsid w:val="00EA79AB"/>
    <w:rsid w:val="00EB0436"/>
    <w:rsid w:val="00EB0B7B"/>
    <w:rsid w:val="00EB2354"/>
    <w:rsid w:val="00EB2966"/>
    <w:rsid w:val="00EB39D9"/>
    <w:rsid w:val="00EB4900"/>
    <w:rsid w:val="00EB4D4A"/>
    <w:rsid w:val="00EB62B4"/>
    <w:rsid w:val="00EC2638"/>
    <w:rsid w:val="00EC2780"/>
    <w:rsid w:val="00EC3445"/>
    <w:rsid w:val="00EC48CF"/>
    <w:rsid w:val="00EC6E77"/>
    <w:rsid w:val="00EC776E"/>
    <w:rsid w:val="00ED08D7"/>
    <w:rsid w:val="00ED0B68"/>
    <w:rsid w:val="00ED0FCB"/>
    <w:rsid w:val="00ED10F8"/>
    <w:rsid w:val="00ED1EA9"/>
    <w:rsid w:val="00ED2698"/>
    <w:rsid w:val="00ED26BC"/>
    <w:rsid w:val="00ED3434"/>
    <w:rsid w:val="00ED5219"/>
    <w:rsid w:val="00ED5F85"/>
    <w:rsid w:val="00ED68A9"/>
    <w:rsid w:val="00ED6B3D"/>
    <w:rsid w:val="00EE0748"/>
    <w:rsid w:val="00EE6056"/>
    <w:rsid w:val="00EE6D6C"/>
    <w:rsid w:val="00EE72D1"/>
    <w:rsid w:val="00EE7D8D"/>
    <w:rsid w:val="00EE7EDB"/>
    <w:rsid w:val="00EF0752"/>
    <w:rsid w:val="00EF149B"/>
    <w:rsid w:val="00EF1EC7"/>
    <w:rsid w:val="00EF5671"/>
    <w:rsid w:val="00EF584A"/>
    <w:rsid w:val="00EF63A9"/>
    <w:rsid w:val="00EF6E8B"/>
    <w:rsid w:val="00F0297A"/>
    <w:rsid w:val="00F029F7"/>
    <w:rsid w:val="00F02D55"/>
    <w:rsid w:val="00F02E5B"/>
    <w:rsid w:val="00F037AB"/>
    <w:rsid w:val="00F0514B"/>
    <w:rsid w:val="00F06367"/>
    <w:rsid w:val="00F079FA"/>
    <w:rsid w:val="00F1100B"/>
    <w:rsid w:val="00F12556"/>
    <w:rsid w:val="00F1401C"/>
    <w:rsid w:val="00F16B3D"/>
    <w:rsid w:val="00F177E5"/>
    <w:rsid w:val="00F21EF2"/>
    <w:rsid w:val="00F229E9"/>
    <w:rsid w:val="00F23285"/>
    <w:rsid w:val="00F232C3"/>
    <w:rsid w:val="00F2341C"/>
    <w:rsid w:val="00F2372C"/>
    <w:rsid w:val="00F23F14"/>
    <w:rsid w:val="00F248F3"/>
    <w:rsid w:val="00F2615C"/>
    <w:rsid w:val="00F27FB3"/>
    <w:rsid w:val="00F3074F"/>
    <w:rsid w:val="00F30B72"/>
    <w:rsid w:val="00F3282E"/>
    <w:rsid w:val="00F3347A"/>
    <w:rsid w:val="00F33929"/>
    <w:rsid w:val="00F350C4"/>
    <w:rsid w:val="00F363C1"/>
    <w:rsid w:val="00F45865"/>
    <w:rsid w:val="00F476A1"/>
    <w:rsid w:val="00F47B8B"/>
    <w:rsid w:val="00F47CA7"/>
    <w:rsid w:val="00F47ED3"/>
    <w:rsid w:val="00F503D5"/>
    <w:rsid w:val="00F50CD0"/>
    <w:rsid w:val="00F51BB8"/>
    <w:rsid w:val="00F5272F"/>
    <w:rsid w:val="00F53CA0"/>
    <w:rsid w:val="00F55997"/>
    <w:rsid w:val="00F55B55"/>
    <w:rsid w:val="00F56262"/>
    <w:rsid w:val="00F61273"/>
    <w:rsid w:val="00F6212F"/>
    <w:rsid w:val="00F6492F"/>
    <w:rsid w:val="00F64DBC"/>
    <w:rsid w:val="00F66176"/>
    <w:rsid w:val="00F66825"/>
    <w:rsid w:val="00F66913"/>
    <w:rsid w:val="00F7097D"/>
    <w:rsid w:val="00F71018"/>
    <w:rsid w:val="00F72320"/>
    <w:rsid w:val="00F730A4"/>
    <w:rsid w:val="00F738A3"/>
    <w:rsid w:val="00F76B29"/>
    <w:rsid w:val="00F80AAE"/>
    <w:rsid w:val="00F80D7C"/>
    <w:rsid w:val="00F812B0"/>
    <w:rsid w:val="00F81CC3"/>
    <w:rsid w:val="00F81E8A"/>
    <w:rsid w:val="00F8301C"/>
    <w:rsid w:val="00F833C9"/>
    <w:rsid w:val="00F84843"/>
    <w:rsid w:val="00F84FF0"/>
    <w:rsid w:val="00F858F7"/>
    <w:rsid w:val="00F86C14"/>
    <w:rsid w:val="00F902ED"/>
    <w:rsid w:val="00F9041E"/>
    <w:rsid w:val="00F90632"/>
    <w:rsid w:val="00F90F04"/>
    <w:rsid w:val="00F95A13"/>
    <w:rsid w:val="00F974AD"/>
    <w:rsid w:val="00FA011E"/>
    <w:rsid w:val="00FA0629"/>
    <w:rsid w:val="00FA06CD"/>
    <w:rsid w:val="00FA0E96"/>
    <w:rsid w:val="00FA290B"/>
    <w:rsid w:val="00FA2EE9"/>
    <w:rsid w:val="00FA346F"/>
    <w:rsid w:val="00FA4148"/>
    <w:rsid w:val="00FA4E0F"/>
    <w:rsid w:val="00FA52C8"/>
    <w:rsid w:val="00FA5A1D"/>
    <w:rsid w:val="00FA68D9"/>
    <w:rsid w:val="00FB016F"/>
    <w:rsid w:val="00FB0287"/>
    <w:rsid w:val="00FB074D"/>
    <w:rsid w:val="00FB12C4"/>
    <w:rsid w:val="00FB1A7E"/>
    <w:rsid w:val="00FB31F1"/>
    <w:rsid w:val="00FB3659"/>
    <w:rsid w:val="00FB4024"/>
    <w:rsid w:val="00FB43CD"/>
    <w:rsid w:val="00FB4964"/>
    <w:rsid w:val="00FB5C82"/>
    <w:rsid w:val="00FB632A"/>
    <w:rsid w:val="00FB650E"/>
    <w:rsid w:val="00FB6871"/>
    <w:rsid w:val="00FB7071"/>
    <w:rsid w:val="00FB74BE"/>
    <w:rsid w:val="00FC0CD6"/>
    <w:rsid w:val="00FC131A"/>
    <w:rsid w:val="00FC16BE"/>
    <w:rsid w:val="00FC1990"/>
    <w:rsid w:val="00FC1AA5"/>
    <w:rsid w:val="00FC21B5"/>
    <w:rsid w:val="00FC3862"/>
    <w:rsid w:val="00FC3F32"/>
    <w:rsid w:val="00FC4299"/>
    <w:rsid w:val="00FC47DF"/>
    <w:rsid w:val="00FC558B"/>
    <w:rsid w:val="00FC5799"/>
    <w:rsid w:val="00FC6C55"/>
    <w:rsid w:val="00FC720E"/>
    <w:rsid w:val="00FC7CB7"/>
    <w:rsid w:val="00FD06B2"/>
    <w:rsid w:val="00FD1081"/>
    <w:rsid w:val="00FD1087"/>
    <w:rsid w:val="00FD1983"/>
    <w:rsid w:val="00FD1BE2"/>
    <w:rsid w:val="00FD20D3"/>
    <w:rsid w:val="00FD25D1"/>
    <w:rsid w:val="00FD4472"/>
    <w:rsid w:val="00FD480A"/>
    <w:rsid w:val="00FD4AAB"/>
    <w:rsid w:val="00FD66DC"/>
    <w:rsid w:val="00FD771D"/>
    <w:rsid w:val="00FE1BFE"/>
    <w:rsid w:val="00FE1D47"/>
    <w:rsid w:val="00FE29EF"/>
    <w:rsid w:val="00FE2CDB"/>
    <w:rsid w:val="00FE31B7"/>
    <w:rsid w:val="00FE39E7"/>
    <w:rsid w:val="00FE3BAD"/>
    <w:rsid w:val="00FE48D5"/>
    <w:rsid w:val="00FE788F"/>
    <w:rsid w:val="00FF1746"/>
    <w:rsid w:val="00FF1B2B"/>
    <w:rsid w:val="00FF2886"/>
    <w:rsid w:val="00FF3F20"/>
    <w:rsid w:val="00FF4612"/>
    <w:rsid w:val="00FF5640"/>
    <w:rsid w:val="00FF5834"/>
    <w:rsid w:val="00FF5BED"/>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571B068-9CFC-4278-9F99-14592B7F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61BCF"/>
  </w:style>
  <w:style w:type="paragraph" w:styleId="Cabealho2">
    <w:name w:val="heading 2"/>
    <w:basedOn w:val="Normal"/>
    <w:next w:val="Normal"/>
    <w:link w:val="Cabealho2Carter"/>
    <w:uiPriority w:val="99"/>
    <w:qFormat/>
    <w:rsid w:val="00171F80"/>
    <w:pPr>
      <w:keepNext/>
      <w:spacing w:line="360" w:lineRule="auto"/>
      <w:jc w:val="both"/>
      <w:outlineLvl w:val="1"/>
    </w:pPr>
    <w:rPr>
      <w:b/>
      <w:sz w:val="24"/>
    </w:rPr>
  </w:style>
  <w:style w:type="paragraph" w:styleId="Cabealho5">
    <w:name w:val="heading 5"/>
    <w:basedOn w:val="Normal"/>
    <w:next w:val="Normal"/>
    <w:link w:val="Cabealho5Carter"/>
    <w:uiPriority w:val="99"/>
    <w:qFormat/>
    <w:rsid w:val="00171F80"/>
    <w:pPr>
      <w:keepNext/>
      <w:spacing w:line="260" w:lineRule="atLeast"/>
      <w:jc w:val="center"/>
      <w:outlineLvl w:val="4"/>
    </w:pPr>
    <w:rPr>
      <w:b/>
    </w:rPr>
  </w:style>
  <w:style w:type="paragraph" w:styleId="Cabealho6">
    <w:name w:val="heading 6"/>
    <w:basedOn w:val="Normal"/>
    <w:next w:val="Normal"/>
    <w:link w:val="Cabealho6Carter"/>
    <w:uiPriority w:val="99"/>
    <w:qFormat/>
    <w:rsid w:val="00171F80"/>
    <w:pPr>
      <w:keepNext/>
      <w:jc w:val="center"/>
      <w:outlineLvl w:val="5"/>
    </w:pPr>
    <w:rPr>
      <w:b/>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2Carter">
    <w:name w:val="Cabeçalho 2 Caráter"/>
    <w:link w:val="Cabealho2"/>
    <w:uiPriority w:val="9"/>
    <w:semiHidden/>
    <w:rsid w:val="0014275D"/>
    <w:rPr>
      <w:rFonts w:ascii="Cambria" w:eastAsia="Times New Roman" w:hAnsi="Cambria" w:cs="Times New Roman"/>
      <w:b/>
      <w:bCs/>
      <w:i/>
      <w:iCs/>
      <w:sz w:val="28"/>
      <w:szCs w:val="28"/>
    </w:rPr>
  </w:style>
  <w:style w:type="character" w:customStyle="1" w:styleId="Cabealho5Carter">
    <w:name w:val="Cabeçalho 5 Caráter"/>
    <w:link w:val="Cabealho5"/>
    <w:uiPriority w:val="9"/>
    <w:semiHidden/>
    <w:rsid w:val="0014275D"/>
    <w:rPr>
      <w:rFonts w:ascii="Calibri" w:eastAsia="Times New Roman" w:hAnsi="Calibri" w:cs="Times New Roman"/>
      <w:b/>
      <w:bCs/>
      <w:i/>
      <w:iCs/>
      <w:sz w:val="26"/>
      <w:szCs w:val="26"/>
    </w:rPr>
  </w:style>
  <w:style w:type="character" w:customStyle="1" w:styleId="Cabealho6Carter">
    <w:name w:val="Cabeçalho 6 Caráter"/>
    <w:link w:val="Cabealho6"/>
    <w:uiPriority w:val="9"/>
    <w:semiHidden/>
    <w:rsid w:val="0014275D"/>
    <w:rPr>
      <w:rFonts w:ascii="Calibri" w:eastAsia="Times New Roman" w:hAnsi="Calibri" w:cs="Times New Roman"/>
      <w:b/>
      <w:bCs/>
    </w:rPr>
  </w:style>
  <w:style w:type="paragraph" w:styleId="Corpodetexto">
    <w:name w:val="Body Text"/>
    <w:basedOn w:val="Normal"/>
    <w:link w:val="CorpodetextoCarter"/>
    <w:rsid w:val="00171F80"/>
    <w:pPr>
      <w:spacing w:line="360" w:lineRule="auto"/>
      <w:jc w:val="both"/>
      <w:outlineLvl w:val="0"/>
    </w:pPr>
    <w:rPr>
      <w:sz w:val="24"/>
    </w:rPr>
  </w:style>
  <w:style w:type="character" w:customStyle="1" w:styleId="CorpodetextoCarter">
    <w:name w:val="Corpo de texto Caráter"/>
    <w:link w:val="Corpodetexto"/>
    <w:uiPriority w:val="99"/>
    <w:semiHidden/>
    <w:rsid w:val="0014275D"/>
    <w:rPr>
      <w:sz w:val="20"/>
      <w:szCs w:val="20"/>
    </w:rPr>
  </w:style>
  <w:style w:type="paragraph" w:styleId="Textodenotaderodap">
    <w:name w:val="footnote text"/>
    <w:basedOn w:val="Normal"/>
    <w:link w:val="TextodenotaderodapCarter"/>
    <w:uiPriority w:val="99"/>
    <w:semiHidden/>
    <w:rsid w:val="00171F80"/>
  </w:style>
  <w:style w:type="character" w:customStyle="1" w:styleId="TextodenotaderodapCarter">
    <w:name w:val="Texto de nota de rodapé Caráter"/>
    <w:link w:val="Textodenotaderodap"/>
    <w:uiPriority w:val="99"/>
    <w:semiHidden/>
    <w:rsid w:val="0014275D"/>
    <w:rPr>
      <w:sz w:val="20"/>
      <w:szCs w:val="20"/>
    </w:rPr>
  </w:style>
  <w:style w:type="paragraph" w:styleId="Corpodetexto3">
    <w:name w:val="Body Text 3"/>
    <w:basedOn w:val="Normal"/>
    <w:link w:val="Corpodetexto3Carter"/>
    <w:uiPriority w:val="99"/>
    <w:rsid w:val="00171F80"/>
    <w:pPr>
      <w:spacing w:line="360" w:lineRule="atLeast"/>
      <w:jc w:val="center"/>
    </w:pPr>
    <w:rPr>
      <w:b/>
      <w:sz w:val="24"/>
    </w:rPr>
  </w:style>
  <w:style w:type="character" w:customStyle="1" w:styleId="Corpodetexto3Carter">
    <w:name w:val="Corpo de texto 3 Caráter"/>
    <w:link w:val="Corpodetexto3"/>
    <w:uiPriority w:val="99"/>
    <w:semiHidden/>
    <w:rsid w:val="0014275D"/>
    <w:rPr>
      <w:sz w:val="16"/>
      <w:szCs w:val="16"/>
    </w:rPr>
  </w:style>
  <w:style w:type="paragraph" w:styleId="Cabealho">
    <w:name w:val="header"/>
    <w:basedOn w:val="Normal"/>
    <w:link w:val="CabealhoCarter"/>
    <w:rsid w:val="00171F80"/>
    <w:pPr>
      <w:tabs>
        <w:tab w:val="center" w:pos="4252"/>
        <w:tab w:val="right" w:pos="8504"/>
      </w:tabs>
    </w:pPr>
  </w:style>
  <w:style w:type="character" w:customStyle="1" w:styleId="CabealhoCarter">
    <w:name w:val="Cabeçalho Caráter"/>
    <w:link w:val="Cabealho"/>
    <w:locked/>
    <w:rsid w:val="00741A3D"/>
    <w:rPr>
      <w:rFonts w:cs="Times New Roman"/>
    </w:rPr>
  </w:style>
  <w:style w:type="paragraph" w:styleId="Rodap">
    <w:name w:val="footer"/>
    <w:basedOn w:val="Normal"/>
    <w:link w:val="RodapCarter"/>
    <w:uiPriority w:val="99"/>
    <w:rsid w:val="00171F80"/>
    <w:pPr>
      <w:tabs>
        <w:tab w:val="center" w:pos="4252"/>
        <w:tab w:val="right" w:pos="8504"/>
      </w:tabs>
    </w:pPr>
  </w:style>
  <w:style w:type="character" w:customStyle="1" w:styleId="RodapCarter">
    <w:name w:val="Rodapé Caráter"/>
    <w:link w:val="Rodap"/>
    <w:uiPriority w:val="99"/>
    <w:locked/>
    <w:rsid w:val="00741A3D"/>
    <w:rPr>
      <w:rFonts w:cs="Times New Roman"/>
    </w:rPr>
  </w:style>
  <w:style w:type="character" w:styleId="Nmerodepgina">
    <w:name w:val="page number"/>
    <w:uiPriority w:val="99"/>
    <w:rsid w:val="00171F80"/>
    <w:rPr>
      <w:rFonts w:cs="Times New Roman"/>
    </w:rPr>
  </w:style>
  <w:style w:type="paragraph" w:styleId="Mapadodocumento">
    <w:name w:val="Document Map"/>
    <w:basedOn w:val="Normal"/>
    <w:link w:val="MapadodocumentoCarter"/>
    <w:uiPriority w:val="99"/>
    <w:semiHidden/>
    <w:rsid w:val="000060B6"/>
    <w:pPr>
      <w:shd w:val="clear" w:color="auto" w:fill="000080"/>
    </w:pPr>
    <w:rPr>
      <w:rFonts w:ascii="Tahoma" w:hAnsi="Tahoma" w:cs="Tahoma"/>
    </w:rPr>
  </w:style>
  <w:style w:type="character" w:customStyle="1" w:styleId="MapadodocumentoCarter">
    <w:name w:val="Mapa do documento Caráter"/>
    <w:link w:val="Mapadodocumento"/>
    <w:uiPriority w:val="99"/>
    <w:semiHidden/>
    <w:rsid w:val="0014275D"/>
    <w:rPr>
      <w:sz w:val="0"/>
      <w:szCs w:val="0"/>
    </w:rPr>
  </w:style>
  <w:style w:type="paragraph" w:styleId="Textodebalo">
    <w:name w:val="Balloon Text"/>
    <w:basedOn w:val="Normal"/>
    <w:link w:val="TextodebaloCarter"/>
    <w:uiPriority w:val="99"/>
    <w:rsid w:val="00FB074D"/>
    <w:rPr>
      <w:rFonts w:ascii="Tahoma" w:hAnsi="Tahoma" w:cs="Tahoma"/>
      <w:sz w:val="16"/>
      <w:szCs w:val="16"/>
    </w:rPr>
  </w:style>
  <w:style w:type="character" w:customStyle="1" w:styleId="TextodebaloCarter">
    <w:name w:val="Texto de balão Caráter"/>
    <w:link w:val="Textodebalo"/>
    <w:uiPriority w:val="99"/>
    <w:locked/>
    <w:rsid w:val="00FB074D"/>
    <w:rPr>
      <w:rFonts w:ascii="Tahoma" w:hAnsi="Tahoma" w:cs="Tahoma"/>
      <w:sz w:val="16"/>
      <w:szCs w:val="16"/>
    </w:rPr>
  </w:style>
  <w:style w:type="paragraph" w:styleId="SemEspaamento">
    <w:name w:val="No Spacing"/>
    <w:link w:val="SemEspaamentoCarter"/>
    <w:uiPriority w:val="99"/>
    <w:qFormat/>
    <w:rsid w:val="00336F8C"/>
    <w:rPr>
      <w:rFonts w:ascii="Calibri" w:hAnsi="Calibri"/>
      <w:sz w:val="22"/>
      <w:szCs w:val="22"/>
      <w:lang w:eastAsia="en-US"/>
    </w:rPr>
  </w:style>
  <w:style w:type="character" w:customStyle="1" w:styleId="SemEspaamentoCarter">
    <w:name w:val="Sem Espaçamento Caráter"/>
    <w:link w:val="SemEspaamento"/>
    <w:uiPriority w:val="99"/>
    <w:locked/>
    <w:rsid w:val="00336F8C"/>
    <w:rPr>
      <w:rFonts w:ascii="Calibri" w:hAnsi="Calibri" w:cs="Times New Roman"/>
      <w:sz w:val="22"/>
      <w:szCs w:val="22"/>
      <w:lang w:val="pt-PT" w:eastAsia="en-US" w:bidi="ar-SA"/>
    </w:rPr>
  </w:style>
  <w:style w:type="paragraph" w:styleId="PargrafodaLista">
    <w:name w:val="List Paragraph"/>
    <w:basedOn w:val="Normal"/>
    <w:uiPriority w:val="99"/>
    <w:qFormat/>
    <w:rsid w:val="00C00424"/>
    <w:pPr>
      <w:ind w:left="708"/>
    </w:pPr>
  </w:style>
  <w:style w:type="paragraph" w:styleId="Textosimples">
    <w:name w:val="Plain Text"/>
    <w:basedOn w:val="Normal"/>
    <w:link w:val="TextosimplesCarter"/>
    <w:uiPriority w:val="99"/>
    <w:rsid w:val="00335A0F"/>
    <w:rPr>
      <w:rFonts w:ascii="Consolas" w:hAnsi="Consolas"/>
      <w:sz w:val="21"/>
      <w:szCs w:val="21"/>
      <w:lang w:eastAsia="en-US"/>
    </w:rPr>
  </w:style>
  <w:style w:type="character" w:customStyle="1" w:styleId="TextosimplesCarter">
    <w:name w:val="Texto simples Caráter"/>
    <w:link w:val="Textosimples"/>
    <w:uiPriority w:val="99"/>
    <w:locked/>
    <w:rsid w:val="00335A0F"/>
    <w:rPr>
      <w:rFonts w:ascii="Consolas" w:eastAsia="Times New Roman" w:hAnsi="Consolas" w:cs="Times New Roman"/>
      <w:sz w:val="21"/>
      <w:szCs w:val="21"/>
      <w:lang w:eastAsia="en-US"/>
    </w:rPr>
  </w:style>
  <w:style w:type="table" w:styleId="Tabelacomgrelha">
    <w:name w:val="Table Grid"/>
    <w:basedOn w:val="Tabelanormal"/>
    <w:uiPriority w:val="59"/>
    <w:rsid w:val="008B2F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rsid w:val="0048048A"/>
    <w:pPr>
      <w:spacing w:line="280" w:lineRule="atLeast"/>
    </w:pPr>
    <w:rPr>
      <w:rFonts w:ascii="Arial" w:hAnsi="Arial" w:cs="Arial"/>
      <w:color w:val="000000"/>
      <w:lang w:eastAsia="en-US"/>
    </w:rPr>
  </w:style>
  <w:style w:type="character" w:styleId="Hiperligao">
    <w:name w:val="Hyperlink"/>
    <w:uiPriority w:val="99"/>
    <w:unhideWhenUsed/>
    <w:rsid w:val="006501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0919">
      <w:bodyDiv w:val="1"/>
      <w:marLeft w:val="0"/>
      <w:marRight w:val="0"/>
      <w:marTop w:val="0"/>
      <w:marBottom w:val="0"/>
      <w:divBdr>
        <w:top w:val="none" w:sz="0" w:space="0" w:color="auto"/>
        <w:left w:val="none" w:sz="0" w:space="0" w:color="auto"/>
        <w:bottom w:val="none" w:sz="0" w:space="0" w:color="auto"/>
        <w:right w:val="none" w:sz="0" w:space="0" w:color="auto"/>
      </w:divBdr>
    </w:div>
    <w:div w:id="249430752">
      <w:bodyDiv w:val="1"/>
      <w:marLeft w:val="0"/>
      <w:marRight w:val="0"/>
      <w:marTop w:val="0"/>
      <w:marBottom w:val="0"/>
      <w:divBdr>
        <w:top w:val="none" w:sz="0" w:space="0" w:color="auto"/>
        <w:left w:val="none" w:sz="0" w:space="0" w:color="auto"/>
        <w:bottom w:val="none" w:sz="0" w:space="0" w:color="auto"/>
        <w:right w:val="none" w:sz="0" w:space="0" w:color="auto"/>
      </w:divBdr>
    </w:div>
    <w:div w:id="284239433">
      <w:bodyDiv w:val="1"/>
      <w:marLeft w:val="0"/>
      <w:marRight w:val="0"/>
      <w:marTop w:val="0"/>
      <w:marBottom w:val="0"/>
      <w:divBdr>
        <w:top w:val="none" w:sz="0" w:space="0" w:color="auto"/>
        <w:left w:val="none" w:sz="0" w:space="0" w:color="auto"/>
        <w:bottom w:val="none" w:sz="0" w:space="0" w:color="auto"/>
        <w:right w:val="none" w:sz="0" w:space="0" w:color="auto"/>
      </w:divBdr>
    </w:div>
    <w:div w:id="659819703">
      <w:bodyDiv w:val="1"/>
      <w:marLeft w:val="0"/>
      <w:marRight w:val="0"/>
      <w:marTop w:val="0"/>
      <w:marBottom w:val="0"/>
      <w:divBdr>
        <w:top w:val="none" w:sz="0" w:space="0" w:color="auto"/>
        <w:left w:val="none" w:sz="0" w:space="0" w:color="auto"/>
        <w:bottom w:val="none" w:sz="0" w:space="0" w:color="auto"/>
        <w:right w:val="none" w:sz="0" w:space="0" w:color="auto"/>
      </w:divBdr>
    </w:div>
    <w:div w:id="728381475">
      <w:bodyDiv w:val="1"/>
      <w:marLeft w:val="0"/>
      <w:marRight w:val="0"/>
      <w:marTop w:val="0"/>
      <w:marBottom w:val="0"/>
      <w:divBdr>
        <w:top w:val="none" w:sz="0" w:space="0" w:color="auto"/>
        <w:left w:val="none" w:sz="0" w:space="0" w:color="auto"/>
        <w:bottom w:val="none" w:sz="0" w:space="0" w:color="auto"/>
        <w:right w:val="none" w:sz="0" w:space="0" w:color="auto"/>
      </w:divBdr>
    </w:div>
    <w:div w:id="840506848">
      <w:bodyDiv w:val="1"/>
      <w:marLeft w:val="0"/>
      <w:marRight w:val="0"/>
      <w:marTop w:val="0"/>
      <w:marBottom w:val="0"/>
      <w:divBdr>
        <w:top w:val="none" w:sz="0" w:space="0" w:color="auto"/>
        <w:left w:val="none" w:sz="0" w:space="0" w:color="auto"/>
        <w:bottom w:val="none" w:sz="0" w:space="0" w:color="auto"/>
        <w:right w:val="none" w:sz="0" w:space="0" w:color="auto"/>
      </w:divBdr>
    </w:div>
    <w:div w:id="1018582131">
      <w:bodyDiv w:val="1"/>
      <w:marLeft w:val="0"/>
      <w:marRight w:val="0"/>
      <w:marTop w:val="0"/>
      <w:marBottom w:val="0"/>
      <w:divBdr>
        <w:top w:val="none" w:sz="0" w:space="0" w:color="auto"/>
        <w:left w:val="none" w:sz="0" w:space="0" w:color="auto"/>
        <w:bottom w:val="none" w:sz="0" w:space="0" w:color="auto"/>
        <w:right w:val="none" w:sz="0" w:space="0" w:color="auto"/>
      </w:divBdr>
    </w:div>
    <w:div w:id="1123115832">
      <w:bodyDiv w:val="1"/>
      <w:marLeft w:val="0"/>
      <w:marRight w:val="0"/>
      <w:marTop w:val="0"/>
      <w:marBottom w:val="0"/>
      <w:divBdr>
        <w:top w:val="none" w:sz="0" w:space="0" w:color="auto"/>
        <w:left w:val="none" w:sz="0" w:space="0" w:color="auto"/>
        <w:bottom w:val="none" w:sz="0" w:space="0" w:color="auto"/>
        <w:right w:val="none" w:sz="0" w:space="0" w:color="auto"/>
      </w:divBdr>
    </w:div>
    <w:div w:id="1237276943">
      <w:bodyDiv w:val="1"/>
      <w:marLeft w:val="0"/>
      <w:marRight w:val="0"/>
      <w:marTop w:val="0"/>
      <w:marBottom w:val="0"/>
      <w:divBdr>
        <w:top w:val="none" w:sz="0" w:space="0" w:color="auto"/>
        <w:left w:val="none" w:sz="0" w:space="0" w:color="auto"/>
        <w:bottom w:val="none" w:sz="0" w:space="0" w:color="auto"/>
        <w:right w:val="none" w:sz="0" w:space="0" w:color="auto"/>
      </w:divBdr>
    </w:div>
    <w:div w:id="1343973784">
      <w:bodyDiv w:val="1"/>
      <w:marLeft w:val="0"/>
      <w:marRight w:val="0"/>
      <w:marTop w:val="0"/>
      <w:marBottom w:val="0"/>
      <w:divBdr>
        <w:top w:val="none" w:sz="0" w:space="0" w:color="auto"/>
        <w:left w:val="none" w:sz="0" w:space="0" w:color="auto"/>
        <w:bottom w:val="none" w:sz="0" w:space="0" w:color="auto"/>
        <w:right w:val="none" w:sz="0" w:space="0" w:color="auto"/>
      </w:divBdr>
    </w:div>
    <w:div w:id="1647858750">
      <w:marLeft w:val="0"/>
      <w:marRight w:val="0"/>
      <w:marTop w:val="0"/>
      <w:marBottom w:val="0"/>
      <w:divBdr>
        <w:top w:val="none" w:sz="0" w:space="0" w:color="auto"/>
        <w:left w:val="none" w:sz="0" w:space="0" w:color="auto"/>
        <w:bottom w:val="none" w:sz="0" w:space="0" w:color="auto"/>
        <w:right w:val="none" w:sz="0" w:space="0" w:color="auto"/>
      </w:divBdr>
    </w:div>
    <w:div w:id="1647858751">
      <w:marLeft w:val="0"/>
      <w:marRight w:val="0"/>
      <w:marTop w:val="0"/>
      <w:marBottom w:val="0"/>
      <w:divBdr>
        <w:top w:val="none" w:sz="0" w:space="0" w:color="auto"/>
        <w:left w:val="none" w:sz="0" w:space="0" w:color="auto"/>
        <w:bottom w:val="none" w:sz="0" w:space="0" w:color="auto"/>
        <w:right w:val="none" w:sz="0" w:space="0" w:color="auto"/>
      </w:divBdr>
    </w:div>
    <w:div w:id="1647858752">
      <w:marLeft w:val="0"/>
      <w:marRight w:val="0"/>
      <w:marTop w:val="0"/>
      <w:marBottom w:val="0"/>
      <w:divBdr>
        <w:top w:val="none" w:sz="0" w:space="0" w:color="auto"/>
        <w:left w:val="none" w:sz="0" w:space="0" w:color="auto"/>
        <w:bottom w:val="none" w:sz="0" w:space="0" w:color="auto"/>
        <w:right w:val="none" w:sz="0" w:space="0" w:color="auto"/>
      </w:divBdr>
    </w:div>
    <w:div w:id="1647858753">
      <w:marLeft w:val="0"/>
      <w:marRight w:val="0"/>
      <w:marTop w:val="0"/>
      <w:marBottom w:val="0"/>
      <w:divBdr>
        <w:top w:val="none" w:sz="0" w:space="0" w:color="auto"/>
        <w:left w:val="none" w:sz="0" w:space="0" w:color="auto"/>
        <w:bottom w:val="none" w:sz="0" w:space="0" w:color="auto"/>
        <w:right w:val="none" w:sz="0" w:space="0" w:color="auto"/>
      </w:divBdr>
    </w:div>
    <w:div w:id="1647858754">
      <w:marLeft w:val="0"/>
      <w:marRight w:val="0"/>
      <w:marTop w:val="0"/>
      <w:marBottom w:val="0"/>
      <w:divBdr>
        <w:top w:val="none" w:sz="0" w:space="0" w:color="auto"/>
        <w:left w:val="none" w:sz="0" w:space="0" w:color="auto"/>
        <w:bottom w:val="none" w:sz="0" w:space="0" w:color="auto"/>
        <w:right w:val="none" w:sz="0" w:space="0" w:color="auto"/>
      </w:divBdr>
    </w:div>
    <w:div w:id="1647858755">
      <w:marLeft w:val="0"/>
      <w:marRight w:val="0"/>
      <w:marTop w:val="0"/>
      <w:marBottom w:val="0"/>
      <w:divBdr>
        <w:top w:val="none" w:sz="0" w:space="0" w:color="auto"/>
        <w:left w:val="none" w:sz="0" w:space="0" w:color="auto"/>
        <w:bottom w:val="none" w:sz="0" w:space="0" w:color="auto"/>
        <w:right w:val="none" w:sz="0" w:space="0" w:color="auto"/>
      </w:divBdr>
    </w:div>
    <w:div w:id="1647858756">
      <w:marLeft w:val="0"/>
      <w:marRight w:val="0"/>
      <w:marTop w:val="0"/>
      <w:marBottom w:val="0"/>
      <w:divBdr>
        <w:top w:val="none" w:sz="0" w:space="0" w:color="auto"/>
        <w:left w:val="none" w:sz="0" w:space="0" w:color="auto"/>
        <w:bottom w:val="none" w:sz="0" w:space="0" w:color="auto"/>
        <w:right w:val="none" w:sz="0" w:space="0" w:color="auto"/>
      </w:divBdr>
    </w:div>
    <w:div w:id="1647858757">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 w:id="1647858759">
      <w:marLeft w:val="0"/>
      <w:marRight w:val="0"/>
      <w:marTop w:val="0"/>
      <w:marBottom w:val="0"/>
      <w:divBdr>
        <w:top w:val="none" w:sz="0" w:space="0" w:color="auto"/>
        <w:left w:val="none" w:sz="0" w:space="0" w:color="auto"/>
        <w:bottom w:val="none" w:sz="0" w:space="0" w:color="auto"/>
        <w:right w:val="none" w:sz="0" w:space="0" w:color="auto"/>
      </w:divBdr>
    </w:div>
    <w:div w:id="1647858760">
      <w:marLeft w:val="0"/>
      <w:marRight w:val="0"/>
      <w:marTop w:val="0"/>
      <w:marBottom w:val="0"/>
      <w:divBdr>
        <w:top w:val="none" w:sz="0" w:space="0" w:color="auto"/>
        <w:left w:val="none" w:sz="0" w:space="0" w:color="auto"/>
        <w:bottom w:val="none" w:sz="0" w:space="0" w:color="auto"/>
        <w:right w:val="none" w:sz="0" w:space="0" w:color="auto"/>
      </w:divBdr>
    </w:div>
    <w:div w:id="1647858761">
      <w:marLeft w:val="0"/>
      <w:marRight w:val="0"/>
      <w:marTop w:val="0"/>
      <w:marBottom w:val="0"/>
      <w:divBdr>
        <w:top w:val="none" w:sz="0" w:space="0" w:color="auto"/>
        <w:left w:val="none" w:sz="0" w:space="0" w:color="auto"/>
        <w:bottom w:val="none" w:sz="0" w:space="0" w:color="auto"/>
        <w:right w:val="none" w:sz="0" w:space="0" w:color="auto"/>
      </w:divBdr>
    </w:div>
    <w:div w:id="1647858762">
      <w:marLeft w:val="0"/>
      <w:marRight w:val="0"/>
      <w:marTop w:val="0"/>
      <w:marBottom w:val="0"/>
      <w:divBdr>
        <w:top w:val="none" w:sz="0" w:space="0" w:color="auto"/>
        <w:left w:val="none" w:sz="0" w:space="0" w:color="auto"/>
        <w:bottom w:val="none" w:sz="0" w:space="0" w:color="auto"/>
        <w:right w:val="none" w:sz="0" w:space="0" w:color="auto"/>
      </w:divBdr>
    </w:div>
    <w:div w:id="1647858763">
      <w:marLeft w:val="0"/>
      <w:marRight w:val="0"/>
      <w:marTop w:val="0"/>
      <w:marBottom w:val="0"/>
      <w:divBdr>
        <w:top w:val="none" w:sz="0" w:space="0" w:color="auto"/>
        <w:left w:val="none" w:sz="0" w:space="0" w:color="auto"/>
        <w:bottom w:val="none" w:sz="0" w:space="0" w:color="auto"/>
        <w:right w:val="none" w:sz="0" w:space="0" w:color="auto"/>
      </w:divBdr>
    </w:div>
    <w:div w:id="1647858764">
      <w:marLeft w:val="0"/>
      <w:marRight w:val="0"/>
      <w:marTop w:val="0"/>
      <w:marBottom w:val="0"/>
      <w:divBdr>
        <w:top w:val="none" w:sz="0" w:space="0" w:color="auto"/>
        <w:left w:val="none" w:sz="0" w:space="0" w:color="auto"/>
        <w:bottom w:val="none" w:sz="0" w:space="0" w:color="auto"/>
        <w:right w:val="none" w:sz="0" w:space="0" w:color="auto"/>
      </w:divBdr>
    </w:div>
    <w:div w:id="1647858765">
      <w:marLeft w:val="0"/>
      <w:marRight w:val="0"/>
      <w:marTop w:val="0"/>
      <w:marBottom w:val="0"/>
      <w:divBdr>
        <w:top w:val="none" w:sz="0" w:space="0" w:color="auto"/>
        <w:left w:val="none" w:sz="0" w:space="0" w:color="auto"/>
        <w:bottom w:val="none" w:sz="0" w:space="0" w:color="auto"/>
        <w:right w:val="none" w:sz="0" w:space="0" w:color="auto"/>
      </w:divBdr>
    </w:div>
    <w:div w:id="1647858766">
      <w:marLeft w:val="0"/>
      <w:marRight w:val="0"/>
      <w:marTop w:val="0"/>
      <w:marBottom w:val="0"/>
      <w:divBdr>
        <w:top w:val="none" w:sz="0" w:space="0" w:color="auto"/>
        <w:left w:val="none" w:sz="0" w:space="0" w:color="auto"/>
        <w:bottom w:val="none" w:sz="0" w:space="0" w:color="auto"/>
        <w:right w:val="none" w:sz="0" w:space="0" w:color="auto"/>
      </w:divBdr>
    </w:div>
    <w:div w:id="1647858767">
      <w:marLeft w:val="0"/>
      <w:marRight w:val="0"/>
      <w:marTop w:val="0"/>
      <w:marBottom w:val="0"/>
      <w:divBdr>
        <w:top w:val="none" w:sz="0" w:space="0" w:color="auto"/>
        <w:left w:val="none" w:sz="0" w:space="0" w:color="auto"/>
        <w:bottom w:val="none" w:sz="0" w:space="0" w:color="auto"/>
        <w:right w:val="none" w:sz="0" w:space="0" w:color="auto"/>
      </w:divBdr>
    </w:div>
    <w:div w:id="1647858768">
      <w:marLeft w:val="0"/>
      <w:marRight w:val="0"/>
      <w:marTop w:val="0"/>
      <w:marBottom w:val="0"/>
      <w:divBdr>
        <w:top w:val="none" w:sz="0" w:space="0" w:color="auto"/>
        <w:left w:val="none" w:sz="0" w:space="0" w:color="auto"/>
        <w:bottom w:val="none" w:sz="0" w:space="0" w:color="auto"/>
        <w:right w:val="none" w:sz="0" w:space="0" w:color="auto"/>
      </w:divBdr>
    </w:div>
    <w:div w:id="1647858769">
      <w:marLeft w:val="0"/>
      <w:marRight w:val="0"/>
      <w:marTop w:val="0"/>
      <w:marBottom w:val="0"/>
      <w:divBdr>
        <w:top w:val="none" w:sz="0" w:space="0" w:color="auto"/>
        <w:left w:val="none" w:sz="0" w:space="0" w:color="auto"/>
        <w:bottom w:val="none" w:sz="0" w:space="0" w:color="auto"/>
        <w:right w:val="none" w:sz="0" w:space="0" w:color="auto"/>
      </w:divBdr>
    </w:div>
    <w:div w:id="1647858770">
      <w:marLeft w:val="0"/>
      <w:marRight w:val="0"/>
      <w:marTop w:val="0"/>
      <w:marBottom w:val="0"/>
      <w:divBdr>
        <w:top w:val="none" w:sz="0" w:space="0" w:color="auto"/>
        <w:left w:val="none" w:sz="0" w:space="0" w:color="auto"/>
        <w:bottom w:val="none" w:sz="0" w:space="0" w:color="auto"/>
        <w:right w:val="none" w:sz="0" w:space="0" w:color="auto"/>
      </w:divBdr>
    </w:div>
    <w:div w:id="1647858771">
      <w:marLeft w:val="0"/>
      <w:marRight w:val="0"/>
      <w:marTop w:val="0"/>
      <w:marBottom w:val="0"/>
      <w:divBdr>
        <w:top w:val="none" w:sz="0" w:space="0" w:color="auto"/>
        <w:left w:val="none" w:sz="0" w:space="0" w:color="auto"/>
        <w:bottom w:val="none" w:sz="0" w:space="0" w:color="auto"/>
        <w:right w:val="none" w:sz="0" w:space="0" w:color="auto"/>
      </w:divBdr>
    </w:div>
    <w:div w:id="1647858772">
      <w:marLeft w:val="0"/>
      <w:marRight w:val="0"/>
      <w:marTop w:val="0"/>
      <w:marBottom w:val="0"/>
      <w:divBdr>
        <w:top w:val="none" w:sz="0" w:space="0" w:color="auto"/>
        <w:left w:val="none" w:sz="0" w:space="0" w:color="auto"/>
        <w:bottom w:val="none" w:sz="0" w:space="0" w:color="auto"/>
        <w:right w:val="none" w:sz="0" w:space="0" w:color="auto"/>
      </w:divBdr>
    </w:div>
    <w:div w:id="1647858773">
      <w:marLeft w:val="0"/>
      <w:marRight w:val="0"/>
      <w:marTop w:val="0"/>
      <w:marBottom w:val="0"/>
      <w:divBdr>
        <w:top w:val="none" w:sz="0" w:space="0" w:color="auto"/>
        <w:left w:val="none" w:sz="0" w:space="0" w:color="auto"/>
        <w:bottom w:val="none" w:sz="0" w:space="0" w:color="auto"/>
        <w:right w:val="none" w:sz="0" w:space="0" w:color="auto"/>
      </w:divBdr>
    </w:div>
    <w:div w:id="1647858774">
      <w:marLeft w:val="0"/>
      <w:marRight w:val="0"/>
      <w:marTop w:val="0"/>
      <w:marBottom w:val="0"/>
      <w:divBdr>
        <w:top w:val="none" w:sz="0" w:space="0" w:color="auto"/>
        <w:left w:val="none" w:sz="0" w:space="0" w:color="auto"/>
        <w:bottom w:val="none" w:sz="0" w:space="0" w:color="auto"/>
        <w:right w:val="none" w:sz="0" w:space="0" w:color="auto"/>
      </w:divBdr>
    </w:div>
    <w:div w:id="1647858775">
      <w:marLeft w:val="0"/>
      <w:marRight w:val="0"/>
      <w:marTop w:val="0"/>
      <w:marBottom w:val="0"/>
      <w:divBdr>
        <w:top w:val="none" w:sz="0" w:space="0" w:color="auto"/>
        <w:left w:val="none" w:sz="0" w:space="0" w:color="auto"/>
        <w:bottom w:val="none" w:sz="0" w:space="0" w:color="auto"/>
        <w:right w:val="none" w:sz="0" w:space="0" w:color="auto"/>
      </w:divBdr>
    </w:div>
    <w:div w:id="1647858776">
      <w:marLeft w:val="0"/>
      <w:marRight w:val="0"/>
      <w:marTop w:val="0"/>
      <w:marBottom w:val="0"/>
      <w:divBdr>
        <w:top w:val="none" w:sz="0" w:space="0" w:color="auto"/>
        <w:left w:val="none" w:sz="0" w:space="0" w:color="auto"/>
        <w:bottom w:val="none" w:sz="0" w:space="0" w:color="auto"/>
        <w:right w:val="none" w:sz="0" w:space="0" w:color="auto"/>
      </w:divBdr>
    </w:div>
    <w:div w:id="1647858777">
      <w:marLeft w:val="0"/>
      <w:marRight w:val="0"/>
      <w:marTop w:val="0"/>
      <w:marBottom w:val="0"/>
      <w:divBdr>
        <w:top w:val="none" w:sz="0" w:space="0" w:color="auto"/>
        <w:left w:val="none" w:sz="0" w:space="0" w:color="auto"/>
        <w:bottom w:val="none" w:sz="0" w:space="0" w:color="auto"/>
        <w:right w:val="none" w:sz="0" w:space="0" w:color="auto"/>
      </w:divBdr>
    </w:div>
    <w:div w:id="1647858778">
      <w:marLeft w:val="0"/>
      <w:marRight w:val="0"/>
      <w:marTop w:val="0"/>
      <w:marBottom w:val="0"/>
      <w:divBdr>
        <w:top w:val="none" w:sz="0" w:space="0" w:color="auto"/>
        <w:left w:val="none" w:sz="0" w:space="0" w:color="auto"/>
        <w:bottom w:val="none" w:sz="0" w:space="0" w:color="auto"/>
        <w:right w:val="none" w:sz="0" w:space="0" w:color="auto"/>
      </w:divBdr>
    </w:div>
    <w:div w:id="1647858779">
      <w:marLeft w:val="0"/>
      <w:marRight w:val="0"/>
      <w:marTop w:val="0"/>
      <w:marBottom w:val="0"/>
      <w:divBdr>
        <w:top w:val="none" w:sz="0" w:space="0" w:color="auto"/>
        <w:left w:val="none" w:sz="0" w:space="0" w:color="auto"/>
        <w:bottom w:val="none" w:sz="0" w:space="0" w:color="auto"/>
        <w:right w:val="none" w:sz="0" w:space="0" w:color="auto"/>
      </w:divBdr>
    </w:div>
    <w:div w:id="1647858780">
      <w:marLeft w:val="0"/>
      <w:marRight w:val="0"/>
      <w:marTop w:val="0"/>
      <w:marBottom w:val="0"/>
      <w:divBdr>
        <w:top w:val="none" w:sz="0" w:space="0" w:color="auto"/>
        <w:left w:val="none" w:sz="0" w:space="0" w:color="auto"/>
        <w:bottom w:val="none" w:sz="0" w:space="0" w:color="auto"/>
        <w:right w:val="none" w:sz="0" w:space="0" w:color="auto"/>
      </w:divBdr>
    </w:div>
    <w:div w:id="1647858781">
      <w:marLeft w:val="0"/>
      <w:marRight w:val="0"/>
      <w:marTop w:val="0"/>
      <w:marBottom w:val="0"/>
      <w:divBdr>
        <w:top w:val="none" w:sz="0" w:space="0" w:color="auto"/>
        <w:left w:val="none" w:sz="0" w:space="0" w:color="auto"/>
        <w:bottom w:val="none" w:sz="0" w:space="0" w:color="auto"/>
        <w:right w:val="none" w:sz="0" w:space="0" w:color="auto"/>
      </w:divBdr>
    </w:div>
    <w:div w:id="1647858782">
      <w:marLeft w:val="0"/>
      <w:marRight w:val="0"/>
      <w:marTop w:val="0"/>
      <w:marBottom w:val="0"/>
      <w:divBdr>
        <w:top w:val="none" w:sz="0" w:space="0" w:color="auto"/>
        <w:left w:val="none" w:sz="0" w:space="0" w:color="auto"/>
        <w:bottom w:val="none" w:sz="0" w:space="0" w:color="auto"/>
        <w:right w:val="none" w:sz="0" w:space="0" w:color="auto"/>
      </w:divBdr>
    </w:div>
    <w:div w:id="1647858783">
      <w:marLeft w:val="0"/>
      <w:marRight w:val="0"/>
      <w:marTop w:val="0"/>
      <w:marBottom w:val="0"/>
      <w:divBdr>
        <w:top w:val="none" w:sz="0" w:space="0" w:color="auto"/>
        <w:left w:val="none" w:sz="0" w:space="0" w:color="auto"/>
        <w:bottom w:val="none" w:sz="0" w:space="0" w:color="auto"/>
        <w:right w:val="none" w:sz="0" w:space="0" w:color="auto"/>
      </w:divBdr>
    </w:div>
    <w:div w:id="1647858784">
      <w:marLeft w:val="0"/>
      <w:marRight w:val="0"/>
      <w:marTop w:val="0"/>
      <w:marBottom w:val="0"/>
      <w:divBdr>
        <w:top w:val="none" w:sz="0" w:space="0" w:color="auto"/>
        <w:left w:val="none" w:sz="0" w:space="0" w:color="auto"/>
        <w:bottom w:val="none" w:sz="0" w:space="0" w:color="auto"/>
        <w:right w:val="none" w:sz="0" w:space="0" w:color="auto"/>
      </w:divBdr>
    </w:div>
    <w:div w:id="1647858785">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
    <w:div w:id="1647858787">
      <w:marLeft w:val="0"/>
      <w:marRight w:val="0"/>
      <w:marTop w:val="0"/>
      <w:marBottom w:val="0"/>
      <w:divBdr>
        <w:top w:val="none" w:sz="0" w:space="0" w:color="auto"/>
        <w:left w:val="none" w:sz="0" w:space="0" w:color="auto"/>
        <w:bottom w:val="none" w:sz="0" w:space="0" w:color="auto"/>
        <w:right w:val="none" w:sz="0" w:space="0" w:color="auto"/>
      </w:divBdr>
    </w:div>
    <w:div w:id="1647858788">
      <w:marLeft w:val="0"/>
      <w:marRight w:val="0"/>
      <w:marTop w:val="0"/>
      <w:marBottom w:val="0"/>
      <w:divBdr>
        <w:top w:val="none" w:sz="0" w:space="0" w:color="auto"/>
        <w:left w:val="none" w:sz="0" w:space="0" w:color="auto"/>
        <w:bottom w:val="none" w:sz="0" w:space="0" w:color="auto"/>
        <w:right w:val="none" w:sz="0" w:space="0" w:color="auto"/>
      </w:divBdr>
    </w:div>
    <w:div w:id="1647858789">
      <w:marLeft w:val="0"/>
      <w:marRight w:val="0"/>
      <w:marTop w:val="0"/>
      <w:marBottom w:val="0"/>
      <w:divBdr>
        <w:top w:val="none" w:sz="0" w:space="0" w:color="auto"/>
        <w:left w:val="none" w:sz="0" w:space="0" w:color="auto"/>
        <w:bottom w:val="none" w:sz="0" w:space="0" w:color="auto"/>
        <w:right w:val="none" w:sz="0" w:space="0" w:color="auto"/>
      </w:divBdr>
    </w:div>
    <w:div w:id="1647858790">
      <w:marLeft w:val="0"/>
      <w:marRight w:val="0"/>
      <w:marTop w:val="0"/>
      <w:marBottom w:val="0"/>
      <w:divBdr>
        <w:top w:val="none" w:sz="0" w:space="0" w:color="auto"/>
        <w:left w:val="none" w:sz="0" w:space="0" w:color="auto"/>
        <w:bottom w:val="none" w:sz="0" w:space="0" w:color="auto"/>
        <w:right w:val="none" w:sz="0" w:space="0" w:color="auto"/>
      </w:divBdr>
    </w:div>
    <w:div w:id="1647858791">
      <w:marLeft w:val="0"/>
      <w:marRight w:val="0"/>
      <w:marTop w:val="0"/>
      <w:marBottom w:val="0"/>
      <w:divBdr>
        <w:top w:val="none" w:sz="0" w:space="0" w:color="auto"/>
        <w:left w:val="none" w:sz="0" w:space="0" w:color="auto"/>
        <w:bottom w:val="none" w:sz="0" w:space="0" w:color="auto"/>
        <w:right w:val="none" w:sz="0" w:space="0" w:color="auto"/>
      </w:divBdr>
    </w:div>
    <w:div w:id="1647858792">
      <w:marLeft w:val="0"/>
      <w:marRight w:val="0"/>
      <w:marTop w:val="0"/>
      <w:marBottom w:val="0"/>
      <w:divBdr>
        <w:top w:val="none" w:sz="0" w:space="0" w:color="auto"/>
        <w:left w:val="none" w:sz="0" w:space="0" w:color="auto"/>
        <w:bottom w:val="none" w:sz="0" w:space="0" w:color="auto"/>
        <w:right w:val="none" w:sz="0" w:space="0" w:color="auto"/>
      </w:divBdr>
    </w:div>
    <w:div w:id="1647858793">
      <w:marLeft w:val="0"/>
      <w:marRight w:val="0"/>
      <w:marTop w:val="0"/>
      <w:marBottom w:val="0"/>
      <w:divBdr>
        <w:top w:val="none" w:sz="0" w:space="0" w:color="auto"/>
        <w:left w:val="none" w:sz="0" w:space="0" w:color="auto"/>
        <w:bottom w:val="none" w:sz="0" w:space="0" w:color="auto"/>
        <w:right w:val="none" w:sz="0" w:space="0" w:color="auto"/>
      </w:divBdr>
    </w:div>
    <w:div w:id="1647858794">
      <w:marLeft w:val="0"/>
      <w:marRight w:val="0"/>
      <w:marTop w:val="0"/>
      <w:marBottom w:val="0"/>
      <w:divBdr>
        <w:top w:val="none" w:sz="0" w:space="0" w:color="auto"/>
        <w:left w:val="none" w:sz="0" w:space="0" w:color="auto"/>
        <w:bottom w:val="none" w:sz="0" w:space="0" w:color="auto"/>
        <w:right w:val="none" w:sz="0" w:space="0" w:color="auto"/>
      </w:divBdr>
    </w:div>
    <w:div w:id="1647858795">
      <w:marLeft w:val="0"/>
      <w:marRight w:val="0"/>
      <w:marTop w:val="0"/>
      <w:marBottom w:val="0"/>
      <w:divBdr>
        <w:top w:val="none" w:sz="0" w:space="0" w:color="auto"/>
        <w:left w:val="none" w:sz="0" w:space="0" w:color="auto"/>
        <w:bottom w:val="none" w:sz="0" w:space="0" w:color="auto"/>
        <w:right w:val="none" w:sz="0" w:space="0" w:color="auto"/>
      </w:divBdr>
    </w:div>
    <w:div w:id="1647858796">
      <w:marLeft w:val="0"/>
      <w:marRight w:val="0"/>
      <w:marTop w:val="0"/>
      <w:marBottom w:val="0"/>
      <w:divBdr>
        <w:top w:val="none" w:sz="0" w:space="0" w:color="auto"/>
        <w:left w:val="none" w:sz="0" w:space="0" w:color="auto"/>
        <w:bottom w:val="none" w:sz="0" w:space="0" w:color="auto"/>
        <w:right w:val="none" w:sz="0" w:space="0" w:color="auto"/>
      </w:divBdr>
    </w:div>
    <w:div w:id="1647858797">
      <w:marLeft w:val="0"/>
      <w:marRight w:val="0"/>
      <w:marTop w:val="0"/>
      <w:marBottom w:val="0"/>
      <w:divBdr>
        <w:top w:val="none" w:sz="0" w:space="0" w:color="auto"/>
        <w:left w:val="none" w:sz="0" w:space="0" w:color="auto"/>
        <w:bottom w:val="none" w:sz="0" w:space="0" w:color="auto"/>
        <w:right w:val="none" w:sz="0" w:space="0" w:color="auto"/>
      </w:divBdr>
    </w:div>
    <w:div w:id="1647858798">
      <w:marLeft w:val="0"/>
      <w:marRight w:val="0"/>
      <w:marTop w:val="0"/>
      <w:marBottom w:val="0"/>
      <w:divBdr>
        <w:top w:val="none" w:sz="0" w:space="0" w:color="auto"/>
        <w:left w:val="none" w:sz="0" w:space="0" w:color="auto"/>
        <w:bottom w:val="none" w:sz="0" w:space="0" w:color="auto"/>
        <w:right w:val="none" w:sz="0" w:space="0" w:color="auto"/>
      </w:divBdr>
    </w:div>
    <w:div w:id="1647858799">
      <w:marLeft w:val="0"/>
      <w:marRight w:val="0"/>
      <w:marTop w:val="0"/>
      <w:marBottom w:val="0"/>
      <w:divBdr>
        <w:top w:val="none" w:sz="0" w:space="0" w:color="auto"/>
        <w:left w:val="none" w:sz="0" w:space="0" w:color="auto"/>
        <w:bottom w:val="none" w:sz="0" w:space="0" w:color="auto"/>
        <w:right w:val="none" w:sz="0" w:space="0" w:color="auto"/>
      </w:divBdr>
    </w:div>
    <w:div w:id="1647858800">
      <w:marLeft w:val="0"/>
      <w:marRight w:val="0"/>
      <w:marTop w:val="0"/>
      <w:marBottom w:val="0"/>
      <w:divBdr>
        <w:top w:val="none" w:sz="0" w:space="0" w:color="auto"/>
        <w:left w:val="none" w:sz="0" w:space="0" w:color="auto"/>
        <w:bottom w:val="none" w:sz="0" w:space="0" w:color="auto"/>
        <w:right w:val="none" w:sz="0" w:space="0" w:color="auto"/>
      </w:divBdr>
    </w:div>
    <w:div w:id="1647858801">
      <w:marLeft w:val="0"/>
      <w:marRight w:val="0"/>
      <w:marTop w:val="0"/>
      <w:marBottom w:val="0"/>
      <w:divBdr>
        <w:top w:val="none" w:sz="0" w:space="0" w:color="auto"/>
        <w:left w:val="none" w:sz="0" w:space="0" w:color="auto"/>
        <w:bottom w:val="none" w:sz="0" w:space="0" w:color="auto"/>
        <w:right w:val="none" w:sz="0" w:space="0" w:color="auto"/>
      </w:divBdr>
    </w:div>
    <w:div w:id="1647858802">
      <w:marLeft w:val="0"/>
      <w:marRight w:val="0"/>
      <w:marTop w:val="0"/>
      <w:marBottom w:val="0"/>
      <w:divBdr>
        <w:top w:val="none" w:sz="0" w:space="0" w:color="auto"/>
        <w:left w:val="none" w:sz="0" w:space="0" w:color="auto"/>
        <w:bottom w:val="none" w:sz="0" w:space="0" w:color="auto"/>
        <w:right w:val="none" w:sz="0" w:space="0" w:color="auto"/>
      </w:divBdr>
    </w:div>
    <w:div w:id="1647858803">
      <w:marLeft w:val="0"/>
      <w:marRight w:val="0"/>
      <w:marTop w:val="0"/>
      <w:marBottom w:val="0"/>
      <w:divBdr>
        <w:top w:val="none" w:sz="0" w:space="0" w:color="auto"/>
        <w:left w:val="none" w:sz="0" w:space="0" w:color="auto"/>
        <w:bottom w:val="none" w:sz="0" w:space="0" w:color="auto"/>
        <w:right w:val="none" w:sz="0" w:space="0" w:color="auto"/>
      </w:divBdr>
    </w:div>
    <w:div w:id="1647858804">
      <w:marLeft w:val="0"/>
      <w:marRight w:val="0"/>
      <w:marTop w:val="0"/>
      <w:marBottom w:val="0"/>
      <w:divBdr>
        <w:top w:val="none" w:sz="0" w:space="0" w:color="auto"/>
        <w:left w:val="none" w:sz="0" w:space="0" w:color="auto"/>
        <w:bottom w:val="none" w:sz="0" w:space="0" w:color="auto"/>
        <w:right w:val="none" w:sz="0" w:space="0" w:color="auto"/>
      </w:divBdr>
    </w:div>
    <w:div w:id="1647858805">
      <w:marLeft w:val="0"/>
      <w:marRight w:val="0"/>
      <w:marTop w:val="0"/>
      <w:marBottom w:val="0"/>
      <w:divBdr>
        <w:top w:val="none" w:sz="0" w:space="0" w:color="auto"/>
        <w:left w:val="none" w:sz="0" w:space="0" w:color="auto"/>
        <w:bottom w:val="none" w:sz="0" w:space="0" w:color="auto"/>
        <w:right w:val="none" w:sz="0" w:space="0" w:color="auto"/>
      </w:divBdr>
    </w:div>
    <w:div w:id="1647858806">
      <w:marLeft w:val="0"/>
      <w:marRight w:val="0"/>
      <w:marTop w:val="0"/>
      <w:marBottom w:val="0"/>
      <w:divBdr>
        <w:top w:val="none" w:sz="0" w:space="0" w:color="auto"/>
        <w:left w:val="none" w:sz="0" w:space="0" w:color="auto"/>
        <w:bottom w:val="none" w:sz="0" w:space="0" w:color="auto"/>
        <w:right w:val="none" w:sz="0" w:space="0" w:color="auto"/>
      </w:divBdr>
    </w:div>
    <w:div w:id="1647858807">
      <w:marLeft w:val="0"/>
      <w:marRight w:val="0"/>
      <w:marTop w:val="0"/>
      <w:marBottom w:val="0"/>
      <w:divBdr>
        <w:top w:val="none" w:sz="0" w:space="0" w:color="auto"/>
        <w:left w:val="none" w:sz="0" w:space="0" w:color="auto"/>
        <w:bottom w:val="none" w:sz="0" w:space="0" w:color="auto"/>
        <w:right w:val="none" w:sz="0" w:space="0" w:color="auto"/>
      </w:divBdr>
    </w:div>
    <w:div w:id="1647858808">
      <w:marLeft w:val="0"/>
      <w:marRight w:val="0"/>
      <w:marTop w:val="0"/>
      <w:marBottom w:val="0"/>
      <w:divBdr>
        <w:top w:val="none" w:sz="0" w:space="0" w:color="auto"/>
        <w:left w:val="none" w:sz="0" w:space="0" w:color="auto"/>
        <w:bottom w:val="none" w:sz="0" w:space="0" w:color="auto"/>
        <w:right w:val="none" w:sz="0" w:space="0" w:color="auto"/>
      </w:divBdr>
    </w:div>
    <w:div w:id="1647858809">
      <w:marLeft w:val="0"/>
      <w:marRight w:val="0"/>
      <w:marTop w:val="0"/>
      <w:marBottom w:val="0"/>
      <w:divBdr>
        <w:top w:val="none" w:sz="0" w:space="0" w:color="auto"/>
        <w:left w:val="none" w:sz="0" w:space="0" w:color="auto"/>
        <w:bottom w:val="none" w:sz="0" w:space="0" w:color="auto"/>
        <w:right w:val="none" w:sz="0" w:space="0" w:color="auto"/>
      </w:divBdr>
    </w:div>
    <w:div w:id="1660303209">
      <w:bodyDiv w:val="1"/>
      <w:marLeft w:val="0"/>
      <w:marRight w:val="0"/>
      <w:marTop w:val="0"/>
      <w:marBottom w:val="0"/>
      <w:divBdr>
        <w:top w:val="none" w:sz="0" w:space="0" w:color="auto"/>
        <w:left w:val="none" w:sz="0" w:space="0" w:color="auto"/>
        <w:bottom w:val="none" w:sz="0" w:space="0" w:color="auto"/>
        <w:right w:val="none" w:sz="0" w:space="0" w:color="auto"/>
      </w:divBdr>
    </w:div>
    <w:div w:id="1668710267">
      <w:bodyDiv w:val="1"/>
      <w:marLeft w:val="0"/>
      <w:marRight w:val="0"/>
      <w:marTop w:val="0"/>
      <w:marBottom w:val="0"/>
      <w:divBdr>
        <w:top w:val="none" w:sz="0" w:space="0" w:color="auto"/>
        <w:left w:val="none" w:sz="0" w:space="0" w:color="auto"/>
        <w:bottom w:val="none" w:sz="0" w:space="0" w:color="auto"/>
        <w:right w:val="none" w:sz="0" w:space="0" w:color="auto"/>
      </w:divBdr>
    </w:div>
    <w:div w:id="1942294967">
      <w:bodyDiv w:val="1"/>
      <w:marLeft w:val="0"/>
      <w:marRight w:val="0"/>
      <w:marTop w:val="0"/>
      <w:marBottom w:val="0"/>
      <w:divBdr>
        <w:top w:val="none" w:sz="0" w:space="0" w:color="auto"/>
        <w:left w:val="none" w:sz="0" w:space="0" w:color="auto"/>
        <w:bottom w:val="none" w:sz="0" w:space="0" w:color="auto"/>
        <w:right w:val="none" w:sz="0" w:space="0" w:color="auto"/>
      </w:divBdr>
    </w:div>
    <w:div w:id="1954357423">
      <w:bodyDiv w:val="1"/>
      <w:marLeft w:val="0"/>
      <w:marRight w:val="0"/>
      <w:marTop w:val="0"/>
      <w:marBottom w:val="0"/>
      <w:divBdr>
        <w:top w:val="none" w:sz="0" w:space="0" w:color="auto"/>
        <w:left w:val="none" w:sz="0" w:space="0" w:color="auto"/>
        <w:bottom w:val="none" w:sz="0" w:space="0" w:color="auto"/>
        <w:right w:val="none" w:sz="0" w:space="0" w:color="auto"/>
      </w:divBdr>
    </w:div>
    <w:div w:id="213124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2.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Excel_97-2003_Worksheet6.xls"/><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10.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Excel_97-2003_Worksheet5.xls"/><Relationship Id="rId31" Type="http://schemas.openxmlformats.org/officeDocument/2006/relationships/oleObject" Target="embeddings/Microsoft_Excel_97-2003_Worksheet11.xls"/><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9.xls"/><Relationship Id="rId30" Type="http://schemas.openxmlformats.org/officeDocument/2006/relationships/image" Target="media/image12.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6C36C-3BD4-400B-A6FC-BDC0C9F02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2989</Words>
  <Characters>16142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Anexo ao Balanço e Demonstração de Resultados</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ao Balanço e Demonstração de Resultados</dc:title>
  <dc:subject>(Annexe to the Balance Sheet and the Financial Statements (Simple))</dc:subject>
  <dc:creator>Carlos</dc:creator>
  <cp:keywords/>
  <dc:description/>
  <cp:lastModifiedBy>Utilizador</cp:lastModifiedBy>
  <cp:revision>4</cp:revision>
  <cp:lastPrinted>2017-03-05T18:50:00Z</cp:lastPrinted>
  <dcterms:created xsi:type="dcterms:W3CDTF">2017-02-24T19:51:00Z</dcterms:created>
  <dcterms:modified xsi:type="dcterms:W3CDTF">2017-03-05T18:51:00Z</dcterms:modified>
</cp:coreProperties>
</file>